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Saxon </w:t>
      </w:r>
      <w:r>
        <w:rPr>
          <w:rFonts w:ascii="Times New Roman" w:hAnsi="Times New Roman" w:cs="Times New Roman"/>
        </w:rPr>
        <w:t>Math 7/6</w:t>
      </w:r>
    </w:p>
    <w:p w:rsidR="00CE078A" w:rsidRPr="00823104" w:rsidRDefault="00CE078A" w:rsidP="00CE078A">
      <w:pPr>
        <w:rPr>
          <w:rFonts w:ascii="Times New Roman" w:hAnsi="Times New Roman" w:cs="Times New Roman"/>
        </w:rPr>
      </w:pPr>
      <w:r w:rsidRPr="00823104">
        <w:rPr>
          <w:rFonts w:ascii="Times New Roman" w:hAnsi="Times New Roman" w:cs="Times New Roman"/>
        </w:rPr>
        <w:t>Fall 2023-Spring 2024</w:t>
      </w:r>
    </w:p>
    <w:p w:rsidR="00CE078A" w:rsidRPr="00823104" w:rsidRDefault="00CE078A" w:rsidP="00CE078A">
      <w:pPr>
        <w:rPr>
          <w:rFonts w:ascii="Times New Roman" w:hAnsi="Times New Roman" w:cs="Times New Roman"/>
        </w:rPr>
      </w:pPr>
      <w:r w:rsidRPr="00823104">
        <w:rPr>
          <w:rFonts w:ascii="Times New Roman" w:hAnsi="Times New Roman" w:cs="Times New Roman"/>
        </w:rPr>
        <w:t>Instructor: Aleksandra Winkler</w:t>
      </w:r>
    </w:p>
    <w:p w:rsidR="00CE078A" w:rsidRPr="00823104" w:rsidRDefault="00CE078A" w:rsidP="00CE078A">
      <w:pPr>
        <w:rPr>
          <w:rFonts w:ascii="Times New Roman" w:hAnsi="Times New Roman" w:cs="Times New Roman"/>
        </w:rPr>
      </w:pPr>
      <w:r w:rsidRPr="00823104">
        <w:rPr>
          <w:rFonts w:ascii="Times New Roman" w:hAnsi="Times New Roman" w:cs="Times New Roman"/>
        </w:rPr>
        <w:t>Aleksandra.winkler@pathco-op.org</w:t>
      </w:r>
    </w:p>
    <w:p w:rsidR="00CE078A" w:rsidRPr="00823104" w:rsidRDefault="00CE078A" w:rsidP="00CE078A">
      <w:pPr>
        <w:rPr>
          <w:rFonts w:ascii="Times New Roman" w:hAnsi="Times New Roman" w:cs="Times New Roman"/>
        </w:rPr>
      </w:pPr>
      <w:r w:rsidRPr="00823104">
        <w:rPr>
          <w:rFonts w:ascii="Times New Roman" w:hAnsi="Times New Roman" w:cs="Times New Roman"/>
        </w:rPr>
        <w:t>443-401-4580</w:t>
      </w:r>
    </w:p>
    <w:p w:rsidR="00CE078A"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Required: Saxon </w:t>
      </w:r>
      <w:r>
        <w:rPr>
          <w:rFonts w:ascii="Times New Roman" w:hAnsi="Times New Roman" w:cs="Times New Roman"/>
        </w:rPr>
        <w:t>Math Homeschool 7/6</w:t>
      </w:r>
    </w:p>
    <w:p w:rsidR="00CE078A" w:rsidRPr="00823104" w:rsidRDefault="00CE078A" w:rsidP="00CE078A">
      <w:pPr>
        <w:rPr>
          <w:rFonts w:ascii="Times New Roman" w:hAnsi="Times New Roman" w:cs="Times New Roman"/>
        </w:rPr>
      </w:pPr>
      <w:r w:rsidRPr="00823104">
        <w:rPr>
          <w:rFonts w:ascii="Times New Roman" w:hAnsi="Times New Roman" w:cs="Times New Roman"/>
        </w:rPr>
        <w:t>Notebook- Either loose-leaf filled with paper or a spiral notebook</w:t>
      </w:r>
    </w:p>
    <w:p w:rsidR="00CE078A" w:rsidRDefault="00CE078A" w:rsidP="00CE078A">
      <w:pPr>
        <w:rPr>
          <w:rFonts w:ascii="Times New Roman" w:hAnsi="Times New Roman" w:cs="Times New Roman"/>
        </w:rPr>
      </w:pPr>
      <w:r w:rsidRPr="00823104">
        <w:rPr>
          <w:rFonts w:ascii="Times New Roman" w:hAnsi="Times New Roman" w:cs="Times New Roman"/>
        </w:rPr>
        <w:t>Pencil</w:t>
      </w:r>
    </w:p>
    <w:p w:rsidR="00CE078A" w:rsidRDefault="00CE078A" w:rsidP="00CE078A">
      <w:pPr>
        <w:rPr>
          <w:rFonts w:ascii="Times New Roman" w:hAnsi="Times New Roman" w:cs="Times New Roman"/>
        </w:rPr>
      </w:pPr>
      <w:r>
        <w:rPr>
          <w:rFonts w:ascii="Times New Roman" w:hAnsi="Times New Roman" w:cs="Times New Roman"/>
        </w:rPr>
        <w:t>Ruler</w:t>
      </w:r>
    </w:p>
    <w:p w:rsidR="00CE078A" w:rsidRDefault="00CE078A" w:rsidP="00CE078A">
      <w:pPr>
        <w:rPr>
          <w:rFonts w:ascii="Times New Roman" w:hAnsi="Times New Roman" w:cs="Times New Roman"/>
        </w:rPr>
      </w:pPr>
      <w:r>
        <w:rPr>
          <w:rFonts w:ascii="Times New Roman" w:hAnsi="Times New Roman" w:cs="Times New Roman"/>
        </w:rPr>
        <w:t>Protractor</w:t>
      </w:r>
    </w:p>
    <w:p w:rsidR="00CE078A" w:rsidRDefault="00CE078A" w:rsidP="00CE078A">
      <w:pPr>
        <w:rPr>
          <w:rFonts w:ascii="Times New Roman" w:hAnsi="Times New Roman" w:cs="Times New Roman"/>
        </w:rPr>
      </w:pPr>
      <w:r>
        <w:rPr>
          <w:rFonts w:ascii="Times New Roman" w:hAnsi="Times New Roman" w:cs="Times New Roman"/>
        </w:rPr>
        <w:t>Compass</w:t>
      </w: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Homework: Before completing the assigned problems, students are to review notes from class and can read the lessons in the book. Homework is to be done in the above stated notebook with the </w:t>
      </w:r>
      <w:r w:rsidRPr="00823104">
        <w:rPr>
          <w:rFonts w:ascii="Times New Roman" w:hAnsi="Times New Roman" w:cs="Times New Roman"/>
          <w:highlight w:val="yellow"/>
        </w:rPr>
        <w:t>answers boxed, students have to show work</w:t>
      </w:r>
      <w:r w:rsidRPr="00823104">
        <w:rPr>
          <w:rFonts w:ascii="Times New Roman" w:hAnsi="Times New Roman" w:cs="Times New Roman"/>
        </w:rPr>
        <w:t>.</w:t>
      </w:r>
    </w:p>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All problems need to be worked. IDK for I don’t know, or blanks are not acceptable. </w:t>
      </w:r>
    </w:p>
    <w:p w:rsidR="00CE078A" w:rsidRPr="00823104" w:rsidRDefault="00CE078A" w:rsidP="00CE078A">
      <w:pPr>
        <w:rPr>
          <w:rFonts w:ascii="Times New Roman" w:hAnsi="Times New Roman" w:cs="Times New Roman"/>
        </w:rPr>
      </w:pPr>
      <w:r w:rsidRPr="00823104">
        <w:rPr>
          <w:rFonts w:ascii="Times New Roman" w:hAnsi="Times New Roman" w:cs="Times New Roman"/>
        </w:rPr>
        <w:t>Homework needs to be turned in, so please staple your sheets together</w:t>
      </w:r>
      <w:r>
        <w:rPr>
          <w:rFonts w:ascii="Times New Roman" w:hAnsi="Times New Roman" w:cs="Times New Roman"/>
        </w:rPr>
        <w:t xml:space="preserve"> and put lesson # and your name on top of the pages. </w:t>
      </w:r>
      <w:r w:rsidRPr="00823104">
        <w:rPr>
          <w:rFonts w:ascii="Times New Roman" w:hAnsi="Times New Roman" w:cs="Times New Roman"/>
        </w:rPr>
        <w:t xml:space="preserve"> </w:t>
      </w: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Class time: During class time, I will teach the new 4 lessons and students are required to take notes. </w:t>
      </w: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Testing: Every test will be posted on google classroom, or given in class. Please use the test solution page included in the testing booklet. The test should be proctored by a parent. No notes are allowed during testing. Each student has to turn in the test the next class or on google classroom. </w:t>
      </w:r>
      <w:bookmarkStart w:id="0" w:name="_GoBack"/>
      <w:bookmarkEnd w:id="0"/>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eastAsia="Times New Roman" w:hAnsi="Times New Roman" w:cs="Times New Roman"/>
          <w:color w:val="222222"/>
          <w:shd w:val="clear" w:color="auto" w:fill="FFFFFF"/>
        </w:rPr>
      </w:pPr>
      <w:r w:rsidRPr="00823104">
        <w:rPr>
          <w:rFonts w:ascii="Times New Roman" w:hAnsi="Times New Roman" w:cs="Times New Roman"/>
        </w:rPr>
        <w:t xml:space="preserve">Late Policy: </w:t>
      </w:r>
      <w:r w:rsidRPr="00823104">
        <w:rPr>
          <w:rFonts w:ascii="Times New Roman" w:eastAsia="Times New Roman" w:hAnsi="Times New Roman" w:cs="Times New Roman"/>
          <w:color w:val="222222"/>
          <w:shd w:val="clear" w:color="auto" w:fill="FFFFFF"/>
        </w:rPr>
        <w:t xml:space="preserve">PATH's expectation is that </w:t>
      </w:r>
      <w:r w:rsidRPr="008743C5">
        <w:rPr>
          <w:rFonts w:ascii="Times New Roman" w:eastAsia="Times New Roman" w:hAnsi="Times New Roman" w:cs="Times New Roman"/>
          <w:color w:val="222222"/>
          <w:highlight w:val="yellow"/>
          <w:u w:val="single"/>
          <w:shd w:val="clear" w:color="auto" w:fill="FFFFFF"/>
        </w:rPr>
        <w:t>late work is not accepted</w:t>
      </w:r>
      <w:r w:rsidRPr="00823104">
        <w:rPr>
          <w:rFonts w:ascii="Times New Roman" w:eastAsia="Times New Roman" w:hAnsi="Times New Roman" w:cs="Times New Roman"/>
          <w:color w:val="222222"/>
          <w:shd w:val="clear" w:color="auto" w:fill="FFFFFF"/>
        </w:rPr>
        <w:t>. If a student believes he/she has an extenuating circumstance, the student should contact the teacher, and the teacher may grant an extension of up to a week at his/her discretion. Homework is expected to be turned in online by the teacher's specifications or in person at the beginning of class. If a student is absent, he/she should submit any homework through Google Classroom or by email by the time class begins.</w:t>
      </w:r>
    </w:p>
    <w:p w:rsidR="00CE078A" w:rsidRPr="00823104" w:rsidRDefault="00CE078A" w:rsidP="00CE078A">
      <w:pPr>
        <w:rPr>
          <w:rFonts w:ascii="Times New Roman" w:eastAsia="Times New Roman" w:hAnsi="Times New Roman" w:cs="Times New Roman"/>
        </w:rPr>
      </w:pPr>
      <w:r w:rsidRPr="00823104">
        <w:rPr>
          <w:rFonts w:ascii="Times New Roman" w:eastAsia="Times New Roman" w:hAnsi="Times New Roman" w:cs="Times New Roman"/>
        </w:rPr>
        <w:t xml:space="preserve">            Examples of an extenuating circumstance:</w:t>
      </w:r>
    </w:p>
    <w:p w:rsidR="00CE078A" w:rsidRPr="00823104" w:rsidRDefault="00CE078A" w:rsidP="00CE078A">
      <w:pPr>
        <w:rPr>
          <w:rFonts w:ascii="Times New Roman" w:eastAsia="Times New Roman" w:hAnsi="Times New Roman" w:cs="Times New Roman"/>
        </w:rPr>
      </w:pPr>
      <w:r w:rsidRPr="00823104">
        <w:rPr>
          <w:rFonts w:ascii="Times New Roman" w:eastAsia="Times New Roman" w:hAnsi="Times New Roman" w:cs="Times New Roman"/>
        </w:rPr>
        <w:t xml:space="preserve">            Student’s extended illness, loss of family member</w:t>
      </w:r>
    </w:p>
    <w:p w:rsidR="00CE078A" w:rsidRPr="00823104" w:rsidRDefault="00CE078A" w:rsidP="00CE078A">
      <w:pPr>
        <w:rPr>
          <w:rFonts w:ascii="Times New Roman" w:eastAsia="Times New Roman" w:hAnsi="Times New Roman" w:cs="Times New Roman"/>
        </w:rPr>
      </w:pPr>
      <w:r w:rsidRPr="00823104">
        <w:rPr>
          <w:rFonts w:ascii="Times New Roman" w:eastAsia="Times New Roman" w:hAnsi="Times New Roman" w:cs="Times New Roman"/>
        </w:rPr>
        <w:t xml:space="preserve"> </w:t>
      </w:r>
    </w:p>
    <w:p w:rsidR="00CE078A" w:rsidRPr="00823104" w:rsidRDefault="00CE078A" w:rsidP="00CE078A">
      <w:pPr>
        <w:rPr>
          <w:rFonts w:ascii="Times New Roman" w:eastAsia="Times New Roman" w:hAnsi="Times New Roman" w:cs="Times New Roman"/>
        </w:rPr>
      </w:pPr>
      <w:r w:rsidRPr="00823104">
        <w:rPr>
          <w:rFonts w:ascii="Times New Roman" w:eastAsia="Times New Roman" w:hAnsi="Times New Roman" w:cs="Times New Roman"/>
        </w:rPr>
        <w:t xml:space="preserve"> </w:t>
      </w:r>
      <w:r w:rsidRPr="00823104">
        <w:rPr>
          <w:rFonts w:ascii="Times New Roman" w:eastAsia="Times New Roman" w:hAnsi="Times New Roman" w:cs="Times New Roman"/>
        </w:rPr>
        <w:tab/>
        <w:t xml:space="preserve">Examples of what is NOT an extenuating circumstance: </w:t>
      </w:r>
    </w:p>
    <w:p w:rsidR="00CE078A" w:rsidRDefault="00CE078A" w:rsidP="00CE078A">
      <w:pPr>
        <w:ind w:left="720"/>
        <w:rPr>
          <w:rFonts w:ascii="Times New Roman" w:eastAsia="Times New Roman" w:hAnsi="Times New Roman" w:cs="Times New Roman"/>
        </w:rPr>
      </w:pPr>
      <w:r w:rsidRPr="00823104">
        <w:rPr>
          <w:rFonts w:ascii="Times New Roman" w:eastAsia="Times New Roman" w:hAnsi="Times New Roman" w:cs="Times New Roman"/>
        </w:rPr>
        <w:t>Misread the syllabus, poor time-management, extra-curricular activities, family vacation,      parent didn’t have time to help me</w:t>
      </w:r>
    </w:p>
    <w:p w:rsidR="00CE078A" w:rsidRPr="00823104" w:rsidRDefault="00CE078A" w:rsidP="00CE078A">
      <w:pPr>
        <w:ind w:left="720"/>
        <w:rPr>
          <w:rFonts w:ascii="Times New Roman" w:eastAsia="Times New Roman" w:hAnsi="Times New Roman" w:cs="Times New Roman"/>
        </w:rPr>
      </w:pPr>
    </w:p>
    <w:p w:rsidR="00CE078A" w:rsidRPr="00823104" w:rsidRDefault="00CE078A" w:rsidP="00CE078A">
      <w:pPr>
        <w:rPr>
          <w:rFonts w:ascii="Times New Roman" w:hAnsi="Times New Roman" w:cs="Times New Roman"/>
        </w:rPr>
      </w:pPr>
    </w:p>
    <w:p w:rsidR="00CE078A" w:rsidRPr="00F12C31" w:rsidRDefault="00CE078A" w:rsidP="00CE078A">
      <w:pPr>
        <w:shd w:val="clear" w:color="auto" w:fill="FFFFFF"/>
        <w:rPr>
          <w:rFonts w:ascii="Times New Roman" w:eastAsia="Times New Roman" w:hAnsi="Times New Roman" w:cs="Times New Roman"/>
          <w:color w:val="222222"/>
        </w:rPr>
      </w:pPr>
      <w:r w:rsidRPr="00F12C31">
        <w:rPr>
          <w:rFonts w:ascii="Times New Roman" w:eastAsia="Times New Roman" w:hAnsi="Times New Roman" w:cs="Times New Roman"/>
          <w:color w:val="000000" w:themeColor="text1"/>
        </w:rPr>
        <w:t>Auditing a Class</w:t>
      </w:r>
      <w:r w:rsidRPr="00823104">
        <w:rPr>
          <w:rFonts w:ascii="Times New Roman" w:eastAsia="Times New Roman" w:hAnsi="Times New Roman" w:cs="Times New Roman"/>
          <w:color w:val="000000" w:themeColor="text1"/>
        </w:rPr>
        <w:t xml:space="preserve">: </w:t>
      </w:r>
      <w:r w:rsidRPr="00F12C31">
        <w:rPr>
          <w:rFonts w:ascii="Times New Roman" w:eastAsia="Times New Roman" w:hAnsi="Times New Roman" w:cs="Times New Roman"/>
          <w:color w:val="222222"/>
        </w:rPr>
        <w:t xml:space="preserve">PATH has had a long-standing policy that states that students are not allowed to audit a class. The expectation is that if a student is enrolled in a class, the student will engage in class discussions and activities, and the student is expected to complete and turn in homework </w:t>
      </w:r>
      <w:r w:rsidRPr="00F12C31">
        <w:rPr>
          <w:rFonts w:ascii="Times New Roman" w:eastAsia="Times New Roman" w:hAnsi="Times New Roman" w:cs="Times New Roman"/>
          <w:color w:val="222222"/>
        </w:rPr>
        <w:lastRenderedPageBreak/>
        <w:t>assignments on time. In addition to a lack of class participation, the definition of auditing is now expanded to include any student that has at least 5 zeros within a 7-week period in one particular class. In this instance, the Board will be notified and the student will be unenrolled from the class. </w:t>
      </w: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r w:rsidRPr="00823104">
        <w:rPr>
          <w:rFonts w:ascii="Times New Roman" w:hAnsi="Times New Roman" w:cs="Times New Roman"/>
        </w:rPr>
        <w:t xml:space="preserve">Grading: </w:t>
      </w: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r w:rsidRPr="00823104">
        <w:rPr>
          <w:rFonts w:ascii="Times New Roman" w:hAnsi="Times New Roman" w:cs="Times New Roman"/>
        </w:rPr>
        <w:t>-Chapter Tests 4</w:t>
      </w:r>
      <w:r>
        <w:rPr>
          <w:rFonts w:ascii="Times New Roman" w:hAnsi="Times New Roman" w:cs="Times New Roman"/>
        </w:rPr>
        <w:t>0</w:t>
      </w:r>
      <w:r w:rsidRPr="00823104">
        <w:rPr>
          <w:rFonts w:ascii="Times New Roman" w:hAnsi="Times New Roman" w:cs="Times New Roman"/>
        </w:rPr>
        <w:t>%</w:t>
      </w:r>
    </w:p>
    <w:p w:rsidR="00CE078A" w:rsidRDefault="00CE078A" w:rsidP="00CE078A">
      <w:pPr>
        <w:rPr>
          <w:rFonts w:ascii="Times New Roman" w:hAnsi="Times New Roman" w:cs="Times New Roman"/>
        </w:rPr>
      </w:pPr>
      <w:r w:rsidRPr="00823104">
        <w:rPr>
          <w:rFonts w:ascii="Times New Roman" w:hAnsi="Times New Roman" w:cs="Times New Roman"/>
        </w:rPr>
        <w:t>-Homework 4</w:t>
      </w:r>
      <w:r>
        <w:rPr>
          <w:rFonts w:ascii="Times New Roman" w:hAnsi="Times New Roman" w:cs="Times New Roman"/>
        </w:rPr>
        <w:t>0</w:t>
      </w:r>
      <w:r w:rsidRPr="00823104">
        <w:rPr>
          <w:rFonts w:ascii="Times New Roman" w:hAnsi="Times New Roman" w:cs="Times New Roman"/>
        </w:rPr>
        <w:t>%</w:t>
      </w:r>
    </w:p>
    <w:p w:rsidR="00CE078A" w:rsidRDefault="00CE078A" w:rsidP="00CE078A">
      <w:pPr>
        <w:rPr>
          <w:rFonts w:ascii="Times New Roman" w:hAnsi="Times New Roman" w:cs="Times New Roman"/>
        </w:rPr>
      </w:pPr>
      <w:r>
        <w:rPr>
          <w:rFonts w:ascii="Times New Roman" w:hAnsi="Times New Roman" w:cs="Times New Roman"/>
        </w:rPr>
        <w:t>- Participation 10%</w:t>
      </w:r>
    </w:p>
    <w:p w:rsidR="00CE078A" w:rsidRPr="00823104" w:rsidRDefault="00CE078A" w:rsidP="00CE078A">
      <w:pPr>
        <w:rPr>
          <w:rFonts w:ascii="Times New Roman" w:hAnsi="Times New Roman" w:cs="Times New Roman"/>
        </w:rPr>
      </w:pPr>
      <w:r>
        <w:rPr>
          <w:rFonts w:ascii="Times New Roman" w:hAnsi="Times New Roman" w:cs="Times New Roman"/>
        </w:rPr>
        <w:t>- Investigations 10%</w:t>
      </w:r>
    </w:p>
    <w:p w:rsidR="00CE078A" w:rsidRPr="00823104" w:rsidRDefault="00CE078A" w:rsidP="00CE078A">
      <w:pPr>
        <w:rPr>
          <w:rFonts w:ascii="Times New Roman" w:hAnsi="Times New Roman" w:cs="Times New Roman"/>
        </w:rPr>
      </w:pPr>
    </w:p>
    <w:p w:rsidR="00CE078A" w:rsidRPr="00823104" w:rsidRDefault="00CE078A" w:rsidP="00CE078A">
      <w:pPr>
        <w:rPr>
          <w:rFonts w:ascii="Times New Roman" w:hAnsi="Times New Roman" w:cs="Times New Roman"/>
        </w:rPr>
      </w:pPr>
    </w:p>
    <w:tbl>
      <w:tblPr>
        <w:tblW w:w="3240" w:type="dxa"/>
        <w:shd w:val="clear" w:color="auto" w:fill="FFFFFF"/>
        <w:tblCellMar>
          <w:top w:w="15" w:type="dxa"/>
          <w:left w:w="15" w:type="dxa"/>
          <w:bottom w:w="15" w:type="dxa"/>
          <w:right w:w="15" w:type="dxa"/>
        </w:tblCellMar>
        <w:tblLook w:val="04A0" w:firstRow="1" w:lastRow="0" w:firstColumn="1" w:lastColumn="0" w:noHBand="0" w:noVBand="1"/>
      </w:tblPr>
      <w:tblGrid>
        <w:gridCol w:w="1530"/>
        <w:gridCol w:w="1710"/>
      </w:tblGrid>
      <w:tr w:rsidR="00CE078A" w:rsidRPr="00823104" w:rsidTr="00973FCD">
        <w:trPr>
          <w:trHeight w:val="390"/>
        </w:trPr>
        <w:tc>
          <w:tcPr>
            <w:tcW w:w="1530" w:type="dxa"/>
            <w:shd w:val="clear" w:color="auto" w:fill="FFFFFF"/>
            <w:tcMar>
              <w:top w:w="120" w:type="dxa"/>
              <w:left w:w="0" w:type="dxa"/>
              <w:bottom w:w="120" w:type="dxa"/>
              <w:right w:w="150" w:type="dxa"/>
            </w:tcMar>
            <w:hideMark/>
          </w:tcPr>
          <w:p w:rsidR="00CE078A" w:rsidRPr="00823104" w:rsidRDefault="00CE078A" w:rsidP="00973FCD">
            <w:pPr>
              <w:rPr>
                <w:rFonts w:ascii="Times New Roman" w:eastAsia="Times New Roman" w:hAnsi="Times New Roman" w:cs="Times New Roman"/>
                <w:b/>
                <w:bCs/>
                <w:color w:val="202124"/>
                <w:sz w:val="21"/>
                <w:szCs w:val="21"/>
              </w:rPr>
            </w:pPr>
            <w:r w:rsidRPr="00823104">
              <w:rPr>
                <w:rFonts w:ascii="Times New Roman" w:eastAsia="Times New Roman" w:hAnsi="Times New Roman" w:cs="Times New Roman"/>
                <w:b/>
                <w:bCs/>
                <w:color w:val="202124"/>
                <w:sz w:val="21"/>
                <w:szCs w:val="21"/>
              </w:rPr>
              <w:t>Letter Grade</w:t>
            </w:r>
          </w:p>
        </w:tc>
        <w:tc>
          <w:tcPr>
            <w:tcW w:w="1710" w:type="dxa"/>
            <w:shd w:val="clear" w:color="auto" w:fill="FFFFFF"/>
            <w:tcMar>
              <w:top w:w="120" w:type="dxa"/>
              <w:left w:w="150" w:type="dxa"/>
              <w:bottom w:w="120" w:type="dxa"/>
              <w:right w:w="150" w:type="dxa"/>
            </w:tcMar>
            <w:hideMark/>
          </w:tcPr>
          <w:p w:rsidR="00CE078A" w:rsidRPr="00823104" w:rsidRDefault="00CE078A" w:rsidP="00973FCD">
            <w:pPr>
              <w:rPr>
                <w:rFonts w:ascii="Times New Roman" w:eastAsia="Times New Roman" w:hAnsi="Times New Roman" w:cs="Times New Roman"/>
                <w:b/>
                <w:bCs/>
                <w:color w:val="202124"/>
                <w:sz w:val="21"/>
                <w:szCs w:val="21"/>
              </w:rPr>
            </w:pPr>
            <w:r w:rsidRPr="00823104">
              <w:rPr>
                <w:rFonts w:ascii="Times New Roman" w:eastAsia="Times New Roman" w:hAnsi="Times New Roman" w:cs="Times New Roman"/>
                <w:b/>
                <w:bCs/>
                <w:color w:val="202124"/>
                <w:sz w:val="21"/>
                <w:szCs w:val="21"/>
              </w:rPr>
              <w:t>Percentage</w:t>
            </w:r>
          </w:p>
        </w:tc>
      </w:tr>
      <w:tr w:rsidR="00CE078A" w:rsidRPr="00823104" w:rsidTr="00973FCD">
        <w:trPr>
          <w:trHeight w:val="390"/>
        </w:trPr>
        <w:tc>
          <w:tcPr>
            <w:tcW w:w="1530" w:type="dxa"/>
            <w:shd w:val="clear" w:color="auto" w:fill="FFFFFF"/>
            <w:tcMar>
              <w:top w:w="120" w:type="dxa"/>
              <w:left w:w="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A</w:t>
            </w:r>
          </w:p>
        </w:tc>
        <w:tc>
          <w:tcPr>
            <w:tcW w:w="1710" w:type="dxa"/>
            <w:shd w:val="clear" w:color="auto" w:fill="FFFFFF"/>
            <w:tcMar>
              <w:top w:w="120" w:type="dxa"/>
              <w:left w:w="15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90–100%</w:t>
            </w:r>
          </w:p>
        </w:tc>
      </w:tr>
      <w:tr w:rsidR="00CE078A" w:rsidRPr="00823104" w:rsidTr="00973FCD">
        <w:trPr>
          <w:trHeight w:val="390"/>
        </w:trPr>
        <w:tc>
          <w:tcPr>
            <w:tcW w:w="1530" w:type="dxa"/>
            <w:shd w:val="clear" w:color="auto" w:fill="FFFFFF"/>
            <w:tcMar>
              <w:top w:w="120" w:type="dxa"/>
              <w:left w:w="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B</w:t>
            </w:r>
          </w:p>
        </w:tc>
        <w:tc>
          <w:tcPr>
            <w:tcW w:w="1710" w:type="dxa"/>
            <w:shd w:val="clear" w:color="auto" w:fill="FFFFFF"/>
            <w:tcMar>
              <w:top w:w="120" w:type="dxa"/>
              <w:left w:w="15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80–89%</w:t>
            </w:r>
          </w:p>
        </w:tc>
      </w:tr>
      <w:tr w:rsidR="00CE078A" w:rsidRPr="00823104" w:rsidTr="00973FCD">
        <w:trPr>
          <w:trHeight w:val="390"/>
        </w:trPr>
        <w:tc>
          <w:tcPr>
            <w:tcW w:w="1530" w:type="dxa"/>
            <w:shd w:val="clear" w:color="auto" w:fill="FFFFFF"/>
            <w:tcMar>
              <w:top w:w="120" w:type="dxa"/>
              <w:left w:w="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C</w:t>
            </w:r>
          </w:p>
        </w:tc>
        <w:tc>
          <w:tcPr>
            <w:tcW w:w="1710" w:type="dxa"/>
            <w:shd w:val="clear" w:color="auto" w:fill="FFFFFF"/>
            <w:tcMar>
              <w:top w:w="120" w:type="dxa"/>
              <w:left w:w="15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70–79%</w:t>
            </w:r>
          </w:p>
        </w:tc>
      </w:tr>
      <w:tr w:rsidR="00CE078A" w:rsidRPr="00823104" w:rsidTr="00973FCD">
        <w:trPr>
          <w:trHeight w:val="390"/>
        </w:trPr>
        <w:tc>
          <w:tcPr>
            <w:tcW w:w="1530" w:type="dxa"/>
            <w:shd w:val="clear" w:color="auto" w:fill="FFFFFF"/>
            <w:tcMar>
              <w:top w:w="120" w:type="dxa"/>
              <w:left w:w="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D</w:t>
            </w:r>
          </w:p>
        </w:tc>
        <w:tc>
          <w:tcPr>
            <w:tcW w:w="1710" w:type="dxa"/>
            <w:shd w:val="clear" w:color="auto" w:fill="FFFFFF"/>
            <w:tcMar>
              <w:top w:w="120" w:type="dxa"/>
              <w:left w:w="150" w:type="dxa"/>
              <w:bottom w:w="120" w:type="dxa"/>
              <w:right w:w="150" w:type="dxa"/>
            </w:tcMar>
            <w:vAlign w:val="center"/>
            <w:hideMark/>
          </w:tcPr>
          <w:p w:rsidR="00CE078A" w:rsidRPr="00823104" w:rsidRDefault="00CE078A" w:rsidP="00973FCD">
            <w:pPr>
              <w:rPr>
                <w:rFonts w:ascii="Times New Roman" w:eastAsia="Times New Roman" w:hAnsi="Times New Roman" w:cs="Times New Roman"/>
                <w:color w:val="202124"/>
                <w:sz w:val="21"/>
                <w:szCs w:val="21"/>
              </w:rPr>
            </w:pPr>
            <w:r w:rsidRPr="00823104">
              <w:rPr>
                <w:rFonts w:ascii="Times New Roman" w:eastAsia="Times New Roman" w:hAnsi="Times New Roman" w:cs="Times New Roman"/>
                <w:b/>
                <w:bCs/>
                <w:color w:val="202124"/>
                <w:sz w:val="21"/>
                <w:szCs w:val="21"/>
              </w:rPr>
              <w:t>60–69%</w:t>
            </w:r>
          </w:p>
        </w:tc>
      </w:tr>
    </w:tbl>
    <w:p w:rsidR="00CE078A" w:rsidRPr="00823104" w:rsidRDefault="00CE078A" w:rsidP="00CE078A">
      <w:pPr>
        <w:rPr>
          <w:rFonts w:ascii="Times New Roman" w:hAnsi="Times New Roman" w:cs="Times New Roman"/>
        </w:rPr>
      </w:pPr>
    </w:p>
    <w:p w:rsidR="008C289B" w:rsidRDefault="008743C5"/>
    <w:sectPr w:rsidR="008C289B" w:rsidSect="00AE2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8A"/>
    <w:rsid w:val="008743C5"/>
    <w:rsid w:val="00AE2627"/>
    <w:rsid w:val="00BF3296"/>
    <w:rsid w:val="00CE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5D369D-6BC1-434C-9AAA-DB4B7598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2023-07-25T01:11:00Z</dcterms:created>
  <dcterms:modified xsi:type="dcterms:W3CDTF">2023-12-18T15:41:00Z</dcterms:modified>
</cp:coreProperties>
</file>