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Sarah Fluitt, MLS(ASCP)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vertAlign w:val="superscript"/>
          <w:rtl w:val="0"/>
        </w:rPr>
        <w:t xml:space="preserve">CM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(e-mail: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sarahnfluitt@gmail.com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mobile#:  903-267-4498)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5"/>
        <w:gridCol w:w="270"/>
        <w:gridCol w:w="6750"/>
        <w:tblGridChange w:id="0">
          <w:tblGrid>
            <w:gridCol w:w="2605"/>
            <w:gridCol w:w="270"/>
            <w:gridCol w:w="6750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lightGray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Jan. 2021 – Present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(Chemistry Lead Tech.)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Texas Health Presbyterian Hospital-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Allen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Allen, TX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Instrument and new test validation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Chemistry QC Review, troubleshooting, investigation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Instrument Maintenance (Abbott Alinity &amp; Abbott Architect)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Proficiency testing survey review and investigation/follow-up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Chemistry Inventory Management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Performs Competency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Instrument Manager/E-Abbott/Abbott Link maintainer for THA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Policy and Procedure Maintenance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 Inspection readiness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Assisting with Staff Scheduling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Assists with Blood Bank manual billing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Jun. 2019 – Dec. 2020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(Blood Bank Lead Tech)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Baylor Scott and White-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Sunnyvale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Sunnyvale, TX.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QC Review (both manual and instrument)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Policy and procedure Maintenance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Employee Training (new hires and annual staff competency assessment)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Inventory Management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Proficiency testing survey review and investigation/follow-up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COLA Inspection readiness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Apr. 2018 – Jun. 2019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(Blood Bank Tech)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Transfusion Services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Univ. of Texas Southwestern Medical Center, Dallas, TX.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Employee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Nursing/Resident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 monthly Transfusion audits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Monthly Blood Bank Q&amp;A Coordinator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 with mock MTP trials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FDA, AABB, and CAP Inspection Readiness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Review Reference lab credit/debit reports for accuracy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Apr. 2008 – Apr. 2018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(Blood Bank Tech)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Transfusion Services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Texas Health Presbyterian Hospital-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Dallas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Dallas, TX.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Trauma Center Blood bank bench 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Acting as a department Transfusion Safety Officer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Department Timekeeper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Team STEPS Department Champion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May 2005 – Apr. 2008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(MLT, Generalist)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Medical Center-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McKinney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McKinney, TX.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Generalist rotating through all section of the laboratory.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lightGray"/>
                <w:rtl w:val="0"/>
              </w:rPr>
              <w:t xml:space="preserve">LIS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Cerner Millennium / Meditech (LIS)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Sun Quest / HCLL (Blood Bank LIS)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lightGray"/>
                <w:rtl w:val="0"/>
              </w:rPr>
              <w:t xml:space="preserve">CERTIFICATION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MLS(ASCP)</w:t>
            </w:r>
          </w:p>
        </w:tc>
      </w:tr>
      <w:tr>
        <w:trPr>
          <w:trHeight w:val="7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5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lightGray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2011 – 2013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B.S. in Clinical Laboratory Sciences, University of Texas Medical Branch, Galveston, TX.</w:t>
              <w:tab/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2003 – 2005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 Associate of Science in Medical Laboratory Technology, Grayson County College, Sherman, TX.</w:t>
            </w:r>
          </w:p>
        </w:tc>
      </w:tr>
      <w:tr>
        <w:trPr>
          <w:trHeight w:val="576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lightGray"/>
                <w:rtl w:val="0"/>
              </w:rPr>
              <w:t xml:space="preserve">REFERENCES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Available upon request.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rahnflui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