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1208DFE3" w:rsidR="00C1150C" w:rsidRDefault="00966E43" w:rsidP="004E1096">
      <w:pPr>
        <w:jc w:val="center"/>
      </w:pPr>
      <w:r>
        <w:t>MAGNESIUM</w:t>
      </w:r>
      <w:r w:rsidR="004E1096">
        <w:t xml:space="preserve"> PROCEDURE FOR ALINITY</w:t>
      </w:r>
    </w:p>
    <w:p w14:paraId="4D397B84" w14:textId="23C9F2DA" w:rsidR="004E1096" w:rsidRDefault="004E1096" w:rsidP="004E1096">
      <w:r>
        <w:t>PRINCIPLE</w:t>
      </w:r>
    </w:p>
    <w:p w14:paraId="679AF03F" w14:textId="2BD23786" w:rsidR="004E1096" w:rsidRDefault="00966E43" w:rsidP="004E1096">
      <w:r>
        <w:t>Magnesium is an essential nutrient which is involved in ma</w:t>
      </w:r>
      <w:r w:rsidR="00762A52">
        <w:t>n</w:t>
      </w:r>
      <w:r>
        <w:t>y biochemical functions</w:t>
      </w:r>
      <w:r w:rsidR="002C25CA">
        <w:t xml:space="preserve"> as well as providing a structural role in nucleic acids and ribosomal particles. </w:t>
      </w:r>
    </w:p>
    <w:p w14:paraId="7C5B6D43" w14:textId="7C08343B" w:rsidR="007530F0" w:rsidRDefault="007530F0" w:rsidP="004E1096">
      <w:r>
        <w:t>The normal amount of magnesium found in the human body is between 21-28g</w:t>
      </w:r>
      <w:r w:rsidR="00F95BA7">
        <w:t>, of which over 50% is complexed with calcium and found in bone. Only about 1% of the total magnesium is found in the extracellular fluid</w:t>
      </w:r>
      <w:r w:rsidR="000E7255">
        <w:t>. Approximately 35% of plasma magnesium is protein bound, mainly to albumin, and therefore, changes in albumin concentration may affect magnesium</w:t>
      </w:r>
      <w:r w:rsidR="00EE4843">
        <w:t>.</w:t>
      </w:r>
    </w:p>
    <w:p w14:paraId="0D712465" w14:textId="001B4695" w:rsidR="00EE4843" w:rsidRDefault="004F17A2" w:rsidP="004E1096">
      <w:r>
        <w:t>Hypomagnesemia, abnormally low levels of plasma magnesium</w:t>
      </w:r>
      <w:r w:rsidR="007763B4">
        <w:t xml:space="preserve">, results in the impairment of neuromuscular function and may develop in severe prolonged diarrhea, malabsorption syndromes, </w:t>
      </w:r>
      <w:r w:rsidR="00311617">
        <w:t>hyperaldosteronism, and diuretic therapy.</w:t>
      </w:r>
    </w:p>
    <w:p w14:paraId="1C0DEC56" w14:textId="3854493D" w:rsidR="00311617" w:rsidRDefault="00311617" w:rsidP="004E1096">
      <w:r>
        <w:t xml:space="preserve">Hypermagnesemia, abnormally high levels of plasma magnesium, </w:t>
      </w:r>
      <w:r w:rsidR="00C759F7">
        <w:t>is observed in renal glomerular failure and diabetic coma.</w:t>
      </w:r>
    </w:p>
    <w:p w14:paraId="49EAAEC3" w14:textId="15E173BF" w:rsidR="004E1096" w:rsidRDefault="004E1096" w:rsidP="004E1096">
      <w:r>
        <w:t xml:space="preserve">Methodology: </w:t>
      </w:r>
      <w:r w:rsidR="00C759F7">
        <w:t>Enzymatic</w:t>
      </w:r>
    </w:p>
    <w:p w14:paraId="438A4D46" w14:textId="0A87FB45" w:rsidR="004E1096" w:rsidRDefault="004E1096" w:rsidP="004E1096">
      <w:r>
        <w:t>SCOPE</w:t>
      </w:r>
    </w:p>
    <w:p w14:paraId="1DBF2A8F" w14:textId="6CB97789" w:rsidR="004E1096" w:rsidRDefault="004E1096" w:rsidP="004E1096">
      <w:r>
        <w:t xml:space="preserve">The </w:t>
      </w:r>
      <w:r w:rsidR="00C759F7">
        <w:t>Magnesium</w:t>
      </w:r>
      <w:r>
        <w:t xml:space="preserve"> assay is used for the quantitation of </w:t>
      </w:r>
      <w:r w:rsidR="00C759F7">
        <w:t>magnesium</w:t>
      </w:r>
      <w:r>
        <w:t xml:space="preserve"> in human serum or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29E90219" w:rsidR="00767F7C" w:rsidRDefault="00767F7C" w:rsidP="004E1096">
      <w:pPr>
        <w:spacing w:after="0"/>
      </w:pPr>
      <w:r>
        <w:t xml:space="preserve">Serum and Plasma are acceptable specimens. </w:t>
      </w:r>
    </w:p>
    <w:p w14:paraId="6B024595" w14:textId="5134506D" w:rsidR="00767F7C" w:rsidRDefault="00767F7C" w:rsidP="004E1096">
      <w:pPr>
        <w:spacing w:after="0"/>
      </w:pPr>
    </w:p>
    <w:p w14:paraId="5EFE43A2" w14:textId="25D99B63" w:rsidR="00767F7C" w:rsidRDefault="00767F7C" w:rsidP="004E1096">
      <w:pPr>
        <w:spacing w:after="0"/>
      </w:pPr>
      <w:r>
        <w:t>Serum: use serum with or without gel barrier. Ensure complete clot formation has taken place prior to centrifugation. Separate from red blood cells as soon after collection as possible.</w:t>
      </w:r>
    </w:p>
    <w:p w14:paraId="282AD9F1" w14:textId="0EF7B624" w:rsidR="00767F7C" w:rsidRDefault="00767F7C" w:rsidP="004E1096">
      <w:pPr>
        <w:spacing w:after="0"/>
      </w:pPr>
    </w:p>
    <w:p w14:paraId="50133069" w14:textId="7416E3D2" w:rsidR="00767F7C" w:rsidRDefault="00767F7C" w:rsidP="004E1096">
      <w:pPr>
        <w:spacing w:after="0"/>
      </w:pPr>
      <w:r>
        <w:t>Plasma: use plasma</w:t>
      </w:r>
      <w:r w:rsidR="00B8608C">
        <w:t xml:space="preserve"> (acceptable anticoagulants: lithium heparin)</w:t>
      </w:r>
      <w:r>
        <w:t xml:space="preserve"> with or without gel barrier. Separate from red blood cells as soon after collection as possible.</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27A0FBFE" w14:textId="14ABF835" w:rsidR="00767F7C" w:rsidRDefault="00767F7C" w:rsidP="004E1096">
      <w:pPr>
        <w:spacing w:after="0"/>
      </w:pPr>
      <w:r>
        <w:t>20-25C is good for</w:t>
      </w:r>
      <w:r w:rsidR="0011474D">
        <w:t xml:space="preserve"> 7 days</w:t>
      </w:r>
    </w:p>
    <w:p w14:paraId="1714BC9E" w14:textId="366B99B4" w:rsidR="00767F7C" w:rsidRDefault="00767F7C" w:rsidP="004E1096">
      <w:pPr>
        <w:spacing w:after="0"/>
      </w:pPr>
      <w:r>
        <w:t xml:space="preserve">2-8C is good for </w:t>
      </w:r>
      <w:r w:rsidR="0011474D">
        <w:t>7</w:t>
      </w:r>
      <w:r>
        <w:t xml:space="preserve"> </w:t>
      </w:r>
      <w:r w:rsidR="0011474D">
        <w:t>days</w:t>
      </w:r>
    </w:p>
    <w:p w14:paraId="06D66A91" w14:textId="37CB08F8" w:rsidR="00767F7C" w:rsidRDefault="00767F7C" w:rsidP="004E1096">
      <w:pPr>
        <w:spacing w:after="0"/>
      </w:pPr>
      <w:r>
        <w:t xml:space="preserve">-20C is good for </w:t>
      </w:r>
      <w:r w:rsidR="0011474D">
        <w:t>1 year</w:t>
      </w:r>
    </w:p>
    <w:p w14:paraId="6960429E" w14:textId="2CE89F23" w:rsidR="00767F7C" w:rsidRDefault="00767F7C"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lastRenderedPageBreak/>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57981A4D" w:rsidR="0056071E" w:rsidRDefault="0056071E" w:rsidP="0056071E">
      <w:pPr>
        <w:pStyle w:val="ListParagraph"/>
        <w:numPr>
          <w:ilvl w:val="0"/>
          <w:numId w:val="2"/>
        </w:numPr>
        <w:spacing w:after="0"/>
      </w:pPr>
      <w:r>
        <w:t xml:space="preserve">Unopened reagent is stable until the expiration date when stored at </w:t>
      </w:r>
      <w:r w:rsidR="00B61E24">
        <w:t>2-8C</w:t>
      </w:r>
      <w:r>
        <w:t>.</w:t>
      </w:r>
    </w:p>
    <w:p w14:paraId="07DB6617" w14:textId="5CDDC6EB" w:rsidR="0056071E" w:rsidRDefault="0056071E" w:rsidP="0056071E">
      <w:pPr>
        <w:pStyle w:val="ListParagraph"/>
        <w:numPr>
          <w:ilvl w:val="0"/>
          <w:numId w:val="2"/>
        </w:numPr>
        <w:spacing w:after="0"/>
      </w:pPr>
      <w:r>
        <w:t>Uncapped On-board reagent is stable for 30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415B29B5" w:rsidR="0056071E" w:rsidRDefault="0056071E" w:rsidP="0056071E">
      <w:pPr>
        <w:pStyle w:val="ListParagraph"/>
        <w:numPr>
          <w:ilvl w:val="0"/>
          <w:numId w:val="3"/>
        </w:numPr>
        <w:spacing w:after="0"/>
      </w:pPr>
      <w:r>
        <w:t xml:space="preserve">Unopened </w:t>
      </w:r>
      <w:r w:rsidR="00035C3D">
        <w:t>–</w:t>
      </w:r>
      <w:r>
        <w:t xml:space="preserve"> </w:t>
      </w:r>
      <w:r w:rsidR="00035C3D">
        <w:t>until expiration date on bottle when stored at 2-8C</w:t>
      </w:r>
    </w:p>
    <w:p w14:paraId="615BCA10" w14:textId="210B275E" w:rsidR="00035C3D" w:rsidRDefault="00035C3D" w:rsidP="0056071E">
      <w:pPr>
        <w:pStyle w:val="ListParagraph"/>
        <w:numPr>
          <w:ilvl w:val="0"/>
          <w:numId w:val="3"/>
        </w:numPr>
        <w:spacing w:after="0"/>
      </w:pPr>
      <w:r>
        <w:t xml:space="preserve">Opened – </w:t>
      </w:r>
      <w:r w:rsidR="003F5A00">
        <w:t>30</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4C7A63FF" w:rsidR="00035C3D" w:rsidRDefault="00035C3D" w:rsidP="00035C3D">
      <w:pPr>
        <w:spacing w:after="0"/>
      </w:pPr>
      <w:r>
        <w:t xml:space="preserve">Calibration is stable for approximately 30 days (720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34D7E309" w:rsidR="007C588D" w:rsidRDefault="007C588D" w:rsidP="00035C3D">
      <w:pPr>
        <w:spacing w:after="0"/>
      </w:pPr>
      <w:r>
        <w:t>For information on calibrator values, refer to the Multiconstituent Calibrator (MCC) package insert.</w:t>
      </w:r>
      <w:r w:rsidR="003C1519">
        <w:t xml:space="preserve"> </w:t>
      </w:r>
      <w:r w:rsidR="003C1519">
        <w:rPr>
          <w:b/>
          <w:bCs/>
        </w:rPr>
        <w:t xml:space="preserve">FOR MAGNESIUM, CALIBRATOR VALUES THAT ARE IN THE INSERT OR DOWNLOADED AS mg/dL UNITS </w:t>
      </w:r>
      <w:r w:rsidR="00884C9F">
        <w:rPr>
          <w:b/>
          <w:bCs/>
        </w:rPr>
        <w:t xml:space="preserve">MUST BE CONVERTED TO meq/L PRIOR TO CALIBRATING. MULTIPLY THE CAL1 AND CAL2 VALUES BY </w:t>
      </w:r>
      <w:r w:rsidR="00884C9F">
        <w:rPr>
          <w:b/>
          <w:bCs/>
        </w:rPr>
        <w:lastRenderedPageBreak/>
        <w:t xml:space="preserve">0.823 AND INPUT THE CALCULATED VALUES INTO THE MC CALIBRATOR VALUE LIST IN THE INSTRUMENT.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77777777" w:rsidR="00BB239C" w:rsidRDefault="003E33D8" w:rsidP="004701A7">
      <w:pPr>
        <w:spacing w:after="0"/>
      </w:pPr>
      <w:r>
        <w:t>Material</w:t>
      </w:r>
      <w:r w:rsidR="00FA4FCE">
        <w:t>: Serum</w:t>
      </w:r>
      <w:r w:rsidR="00BB239C">
        <w:t xml:space="preserve">: BioRad Unassayed chemistry control levels 1 and 2. </w:t>
      </w:r>
    </w:p>
    <w:p w14:paraId="48E9F94C" w14:textId="5FC4E358"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lastRenderedPageBreak/>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6855679C" w14:textId="4828FB1C" w:rsidR="00481691" w:rsidRDefault="00481691" w:rsidP="000D7657">
      <w:pPr>
        <w:pStyle w:val="ListParagraph"/>
        <w:numPr>
          <w:ilvl w:val="0"/>
          <w:numId w:val="6"/>
        </w:numPr>
        <w:spacing w:after="0"/>
      </w:pPr>
      <w:r w:rsidRPr="000D7657">
        <w:rPr>
          <w:rFonts w:cstheme="minorHAnsi"/>
        </w:rPr>
        <w:t>≥</w:t>
      </w:r>
      <w:r w:rsidR="00E01FEB">
        <w:t xml:space="preserve">2+ </w:t>
      </w:r>
      <w:r w:rsidR="0087268E">
        <w:t>hemolysis</w:t>
      </w:r>
      <w:r w:rsidR="00E01FEB">
        <w:t xml:space="preserve"> </w:t>
      </w:r>
      <w:r w:rsidR="008E3CF9">
        <w:t>may result in a false elevation of the result by as much as 18%</w:t>
      </w:r>
      <w:r w:rsidR="00E01FEB">
        <w:t>.</w:t>
      </w:r>
    </w:p>
    <w:p w14:paraId="407A73B9" w14:textId="6989CBE8"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1C5385D5" w:rsidR="000D7657" w:rsidRDefault="000D7657" w:rsidP="000D7657">
      <w:pPr>
        <w:spacing w:after="0"/>
      </w:pPr>
      <w:r>
        <w:t xml:space="preserve">ABBOTT  </w:t>
      </w:r>
      <w:r w:rsidR="00B741C5">
        <w:t>Magnesium</w:t>
      </w:r>
      <w:r>
        <w:t xml:space="preserve"> package insert</w:t>
      </w:r>
    </w:p>
    <w:p w14:paraId="67A3886C" w14:textId="77777777" w:rsidR="000D7657" w:rsidRDefault="000D7657" w:rsidP="000D7657">
      <w:pPr>
        <w:spacing w:after="0"/>
      </w:pPr>
    </w:p>
    <w:p w14:paraId="5897225D" w14:textId="2E643229" w:rsidR="000D7657" w:rsidRDefault="000D7657" w:rsidP="000D7657">
      <w:pPr>
        <w:spacing w:after="0"/>
      </w:pPr>
      <w:r>
        <w:t>ABBOTT Multiconstituents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D7657"/>
    <w:rsid w:val="000E7255"/>
    <w:rsid w:val="0011474D"/>
    <w:rsid w:val="00134D51"/>
    <w:rsid w:val="002C25CA"/>
    <w:rsid w:val="00311617"/>
    <w:rsid w:val="003C1519"/>
    <w:rsid w:val="003D17DB"/>
    <w:rsid w:val="003E33D8"/>
    <w:rsid w:val="003F5A00"/>
    <w:rsid w:val="004701A7"/>
    <w:rsid w:val="0048022F"/>
    <w:rsid w:val="00481691"/>
    <w:rsid w:val="004E1096"/>
    <w:rsid w:val="004F17A2"/>
    <w:rsid w:val="00517A32"/>
    <w:rsid w:val="0056071E"/>
    <w:rsid w:val="00647680"/>
    <w:rsid w:val="006C173E"/>
    <w:rsid w:val="007530F0"/>
    <w:rsid w:val="00762A52"/>
    <w:rsid w:val="00767F7C"/>
    <w:rsid w:val="007763B4"/>
    <w:rsid w:val="007C588D"/>
    <w:rsid w:val="0087268E"/>
    <w:rsid w:val="00872F1E"/>
    <w:rsid w:val="00884C9F"/>
    <w:rsid w:val="008D2EBD"/>
    <w:rsid w:val="008E3CF9"/>
    <w:rsid w:val="008F184E"/>
    <w:rsid w:val="00966E43"/>
    <w:rsid w:val="009C50E4"/>
    <w:rsid w:val="00A226B4"/>
    <w:rsid w:val="00A4676E"/>
    <w:rsid w:val="00AC51B7"/>
    <w:rsid w:val="00B35CAD"/>
    <w:rsid w:val="00B61E24"/>
    <w:rsid w:val="00B741C5"/>
    <w:rsid w:val="00B8608C"/>
    <w:rsid w:val="00B94C7B"/>
    <w:rsid w:val="00BA4A60"/>
    <w:rsid w:val="00BB239C"/>
    <w:rsid w:val="00C1150C"/>
    <w:rsid w:val="00C759F7"/>
    <w:rsid w:val="00E01FEB"/>
    <w:rsid w:val="00EA018B"/>
    <w:rsid w:val="00EE4843"/>
    <w:rsid w:val="00F5712C"/>
    <w:rsid w:val="00F95BA7"/>
    <w:rsid w:val="00FA4FCE"/>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26</cp:revision>
  <dcterms:created xsi:type="dcterms:W3CDTF">2021-12-06T22:35:00Z</dcterms:created>
  <dcterms:modified xsi:type="dcterms:W3CDTF">2021-12-06T22:55:00Z</dcterms:modified>
</cp:coreProperties>
</file>