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38B65C76" w:rsidR="00557C62" w:rsidRDefault="003F370F" w:rsidP="004940EF">
      <w:pPr>
        <w:jc w:val="center"/>
      </w:pPr>
      <w:r>
        <w:t>POTASSIUM</w:t>
      </w:r>
      <w:r w:rsidR="004940EF">
        <w:t xml:space="preserve"> PROCEDURE FOR ALINITY</w:t>
      </w:r>
    </w:p>
    <w:p w14:paraId="45A489A5" w14:textId="78EBB3A0" w:rsidR="004940EF" w:rsidRDefault="004940EF" w:rsidP="004940EF">
      <w:r>
        <w:t>PRINCIPLE</w:t>
      </w:r>
    </w:p>
    <w:p w14:paraId="34ABFA3A" w14:textId="6081DD19" w:rsidR="00483F89" w:rsidRDefault="003F370F" w:rsidP="009F3599">
      <w:r>
        <w:t>Potassium</w:t>
      </w:r>
      <w:r w:rsidR="009F3599">
        <w:t xml:space="preserve"> is the major</w:t>
      </w:r>
      <w:r w:rsidR="003B0F6B">
        <w:t xml:space="preserve"> </w:t>
      </w:r>
      <w:r>
        <w:t xml:space="preserve">intracellular </w:t>
      </w:r>
      <w:r w:rsidR="003B0F6B">
        <w:t>cation</w:t>
      </w:r>
      <w:r>
        <w:t>.</w:t>
      </w:r>
      <w:r w:rsidR="003B0F6B">
        <w:t xml:space="preserve"> </w:t>
      </w:r>
      <w:r>
        <w:t xml:space="preserve">The concentration of potassium in the erythrocytes is approximately 23 times the concentration in plasma, therefore, only non-hemolyzed samples may be used. </w:t>
      </w:r>
      <w:r w:rsidR="007D4C8C">
        <w:t>Decreased levels of extracellular potassium are characterized by weakness in the muscles, irritability, paralysis, accelerated heartbeat, and cardiac arrest. This may be caused by a poor intake of potassium in the diet, by a redistribution of extracellular potassium, and by an increased loss of body fluids rich in potassium. Abnormally elevated levels of potassium produce mental confusion, general weakness, numbness, flaccid paralysis in the extremities, a slowed heartrate, and cardiac arrest. Causes of increased potassium levels may be linked to inappropriate IV therapy, dehydration, shock, diabetic ketoacidosis, and severe burns.</w:t>
      </w:r>
    </w:p>
    <w:p w14:paraId="071B8881" w14:textId="0A030FDE" w:rsidR="004940EF" w:rsidRDefault="004940EF" w:rsidP="004940EF">
      <w:r>
        <w:t xml:space="preserve">Methodology: </w:t>
      </w:r>
      <w:r w:rsidR="00D769B8">
        <w:t>Ion Selective electrode, diluted (Indirect ISE)</w:t>
      </w:r>
    </w:p>
    <w:p w14:paraId="31A8215F" w14:textId="01D0FFE0" w:rsidR="004940EF" w:rsidRDefault="004940EF" w:rsidP="004940EF">
      <w:r>
        <w:t>SCOPE</w:t>
      </w:r>
    </w:p>
    <w:p w14:paraId="49F4D6B1" w14:textId="0DA0C93B" w:rsidR="004940EF" w:rsidRDefault="004940EF" w:rsidP="004940EF">
      <w:r>
        <w:t xml:space="preserve">The </w:t>
      </w:r>
      <w:r w:rsidR="00D769B8">
        <w:t>Alinity C System ICT (Integrated Chip Technology)</w:t>
      </w:r>
      <w:r w:rsidR="00CC5ECC">
        <w:t xml:space="preserve"> is used for the </w:t>
      </w:r>
      <w:r w:rsidR="00483F89">
        <w:t>quantitation</w:t>
      </w:r>
      <w:r w:rsidR="00EF36AA">
        <w:t xml:space="preserve"> </w:t>
      </w:r>
      <w:r w:rsidR="00CC5ECC">
        <w:t xml:space="preserve">of </w:t>
      </w:r>
      <w:r w:rsidR="00D769B8">
        <w:t>sodium, potassium and chloride</w:t>
      </w:r>
      <w:r w:rsidR="00CC5ECC">
        <w:t xml:space="preserv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063BECA3" w:rsidR="00CC5ECC" w:rsidRDefault="00CC5ECC" w:rsidP="00CC5ECC">
      <w:pPr>
        <w:spacing w:after="0"/>
      </w:pPr>
      <w:r>
        <w:t>Serum and plasma</w:t>
      </w:r>
      <w:r w:rsidR="006D3313">
        <w:t xml:space="preserve"> </w:t>
      </w:r>
      <w:r>
        <w:t xml:space="preserve">are acceptable specimens. </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710BE524" w:rsidR="00C12AAE" w:rsidRDefault="00C12AAE" w:rsidP="00CC5ECC">
      <w:pPr>
        <w:spacing w:after="0"/>
      </w:pPr>
      <w:r>
        <w:t>Plasma: Use plasma with or without gel barrier.</w:t>
      </w:r>
      <w:r w:rsidR="00EF7F2A">
        <w:t xml:space="preserve"> Acceptable anticoagulants: lithium heparin.</w:t>
      </w:r>
      <w:r>
        <w:t xml:space="preserve"> Separate from red blood cells as soon after collection as possible.</w:t>
      </w:r>
    </w:p>
    <w:p w14:paraId="706286D8" w14:textId="0EDBF48C" w:rsidR="007D4C8C" w:rsidRDefault="007D4C8C" w:rsidP="00CC5ECC">
      <w:pPr>
        <w:spacing w:after="0"/>
      </w:pPr>
    </w:p>
    <w:p w14:paraId="27415DE0" w14:textId="3D69AE4F" w:rsidR="007D4C8C" w:rsidRDefault="007D4C8C" w:rsidP="00CC5ECC">
      <w:pPr>
        <w:spacing w:after="0"/>
      </w:pPr>
      <w:r>
        <w:t>For potassium, a 3+ or greater hemolyzed sample must not be used. These samples are to be cancelled as hemolyzed, the call to the caregiver documented</w:t>
      </w:r>
      <w:r w:rsidR="005C2255">
        <w:t xml:space="preserve"> in LIS, and a new order placed as RC (Recollect).</w:t>
      </w:r>
    </w:p>
    <w:p w14:paraId="173C8AF4" w14:textId="277139C9" w:rsidR="00C12AAE" w:rsidRDefault="00C12AAE" w:rsidP="00CC5ECC">
      <w:pPr>
        <w:spacing w:after="0"/>
      </w:pPr>
      <w:r>
        <w:lastRenderedPageBreak/>
        <w:t>SPECIMEN STORAGE STABILITY</w:t>
      </w:r>
    </w:p>
    <w:p w14:paraId="3DC2A17F" w14:textId="6EBA57EE" w:rsidR="00E61B68" w:rsidRDefault="00E61B68" w:rsidP="00CC5ECC">
      <w:pPr>
        <w:spacing w:after="0"/>
      </w:pPr>
    </w:p>
    <w:p w14:paraId="1AECD7B1" w14:textId="2E0A9DE6" w:rsidR="00C12AAE" w:rsidRDefault="00C12AAE" w:rsidP="00CC5ECC">
      <w:pPr>
        <w:spacing w:after="0"/>
      </w:pPr>
      <w:r>
        <w:t xml:space="preserve">20-25C is good for </w:t>
      </w:r>
      <w:r w:rsidR="005C2255">
        <w:t>7</w:t>
      </w:r>
      <w:r>
        <w:t xml:space="preserve"> day</w:t>
      </w:r>
      <w:r w:rsidR="0027339F">
        <w:t>s</w:t>
      </w:r>
    </w:p>
    <w:p w14:paraId="6D6E0394" w14:textId="1F46153D" w:rsidR="00C12AAE" w:rsidRDefault="00C12AAE" w:rsidP="00CC5ECC">
      <w:pPr>
        <w:spacing w:after="0"/>
      </w:pPr>
      <w:r>
        <w:t xml:space="preserve">2-8C is good for </w:t>
      </w:r>
      <w:r w:rsidR="005C2255">
        <w:t>7</w:t>
      </w:r>
      <w:r w:rsidR="0027339F">
        <w:t xml:space="preserve"> days</w:t>
      </w:r>
    </w:p>
    <w:p w14:paraId="17FDD320" w14:textId="2EF64419" w:rsidR="00C12AAE" w:rsidRDefault="00C12AAE" w:rsidP="00CC5ECC">
      <w:pPr>
        <w:spacing w:after="0"/>
      </w:pPr>
      <w:r>
        <w:t>-20C is good for</w:t>
      </w:r>
      <w:r w:rsidR="0027339F">
        <w:t xml:space="preserve"> 1 year</w:t>
      </w:r>
    </w:p>
    <w:p w14:paraId="662EE617" w14:textId="303DDAF2" w:rsidR="00C12AAE" w:rsidRDefault="00C12AAE" w:rsidP="00CC5ECC">
      <w:pPr>
        <w:spacing w:after="0"/>
      </w:pPr>
    </w:p>
    <w:p w14:paraId="5005408B" w14:textId="635C07D6" w:rsidR="00C12AAE" w:rsidRDefault="00C12AAE" w:rsidP="00CC5ECC">
      <w:pPr>
        <w:spacing w:after="0"/>
      </w:pPr>
      <w:r>
        <w:t>Note: Allow specimens to reach room temperature prior to testing. Stored specimens must be mixed prior to testing and recentrifuged if they contain particulate matter.</w:t>
      </w:r>
    </w:p>
    <w:p w14:paraId="5CA59261" w14:textId="56ED73D2" w:rsidR="0027339F" w:rsidRDefault="0027339F" w:rsidP="00CC5ECC">
      <w:pPr>
        <w:spacing w:after="0"/>
      </w:pPr>
    </w:p>
    <w:p w14:paraId="6E811E4C" w14:textId="20DF7A35" w:rsidR="0027339F" w:rsidRDefault="0027339F" w:rsidP="00CC5ECC">
      <w:pPr>
        <w:spacing w:after="0"/>
      </w:pPr>
      <w:r>
        <w:t>Note: Multiple myeloma and lipid samples are known to give low results on diluted ISE systems due to the high level of proteins/lipids present in the sample.</w:t>
      </w:r>
    </w:p>
    <w:p w14:paraId="172ACC20" w14:textId="5FE5A61D" w:rsidR="00C12AAE" w:rsidRDefault="00C12AAE" w:rsidP="00CC5ECC">
      <w:pPr>
        <w:spacing w:after="0"/>
      </w:pPr>
    </w:p>
    <w:p w14:paraId="654E8DDE" w14:textId="386003FE" w:rsidR="007E215F" w:rsidRDefault="00CA5B37" w:rsidP="00A854B4">
      <w:pPr>
        <w:spacing w:after="0"/>
      </w:pPr>
      <w:r>
        <w:t>REAGENT HANDLING</w:t>
      </w:r>
    </w:p>
    <w:p w14:paraId="5B9C43B8" w14:textId="77777777" w:rsidR="0027339F" w:rsidRDefault="0027339F" w:rsidP="00A854B4">
      <w:pPr>
        <w:spacing w:after="0"/>
      </w:pPr>
    </w:p>
    <w:p w14:paraId="36933847" w14:textId="5E9CB9E8" w:rsidR="00CA5B37" w:rsidRDefault="00CA5B37" w:rsidP="00CA5B37">
      <w:pPr>
        <w:pStyle w:val="ListParagraph"/>
        <w:numPr>
          <w:ilvl w:val="0"/>
          <w:numId w:val="2"/>
        </w:numPr>
        <w:spacing w:after="0"/>
      </w:pPr>
      <w:r>
        <w:t>Upon receipt, place reagent cartridge in an upright position before use to allow bubbles that may have formed to dissipate.</w:t>
      </w:r>
    </w:p>
    <w:p w14:paraId="54C72145" w14:textId="42DD9FD1" w:rsidR="00CA5B37" w:rsidRDefault="00CA5B37" w:rsidP="00CA5B37">
      <w:pPr>
        <w:pStyle w:val="ListParagraph"/>
        <w:numPr>
          <w:ilvl w:val="0"/>
          <w:numId w:val="2"/>
        </w:numPr>
        <w:spacing w:after="0"/>
      </w:pPr>
      <w:r>
        <w:t xml:space="preserve">If </w:t>
      </w:r>
      <w:r w:rsidR="00874661">
        <w:t xml:space="preserve">a reagent cartridge is dropped, place in an upright position for </w:t>
      </w:r>
      <w:r w:rsidR="007E215F">
        <w:t>8</w:t>
      </w:r>
      <w:r w:rsidR="00874661">
        <w:t xml:space="preserve"> </w:t>
      </w:r>
      <w:r w:rsidR="007E215F">
        <w:t>hours</w:t>
      </w:r>
      <w:r w:rsidR="00874661">
        <w:t xml:space="preserve"> before use.</w:t>
      </w:r>
    </w:p>
    <w:p w14:paraId="70E7A515" w14:textId="72A2B8EE" w:rsidR="007E215F" w:rsidRDefault="007E215F" w:rsidP="00CA5B37">
      <w:pPr>
        <w:pStyle w:val="ListParagraph"/>
        <w:numPr>
          <w:ilvl w:val="0"/>
          <w:numId w:val="2"/>
        </w:numPr>
        <w:spacing w:after="0"/>
      </w:pPr>
      <w:r>
        <w:t>Do not invert reagent cartridges prior to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3F41EF06" w14:textId="77777777" w:rsidR="0027339F" w:rsidRDefault="00F336EE" w:rsidP="0027339F">
      <w:pPr>
        <w:spacing w:after="0"/>
      </w:pPr>
      <w:r>
        <w:t>REAGENT STORAGE</w:t>
      </w:r>
      <w:r w:rsidR="0027339F" w:rsidRPr="0027339F">
        <w:t xml:space="preserve"> </w:t>
      </w:r>
    </w:p>
    <w:p w14:paraId="228A7B14" w14:textId="77777777" w:rsidR="0027339F" w:rsidRDefault="0027339F" w:rsidP="0027339F">
      <w:pPr>
        <w:spacing w:after="0"/>
      </w:pPr>
    </w:p>
    <w:p w14:paraId="5452AF75" w14:textId="5F223AF2" w:rsidR="0027339F" w:rsidRDefault="00B70F49" w:rsidP="00B70F49">
      <w:pPr>
        <w:pStyle w:val="ListParagraph"/>
        <w:numPr>
          <w:ilvl w:val="0"/>
          <w:numId w:val="3"/>
        </w:numPr>
        <w:spacing w:after="0"/>
      </w:pPr>
      <w:r>
        <w:t xml:space="preserve"> </w:t>
      </w:r>
      <w:r w:rsidR="0027339F">
        <w:t>Unopened ICT Diluent, ICT Reference Fluid, and ICT Cleaning fluid are stable till the expiration date when stored at 15-30C.</w:t>
      </w:r>
    </w:p>
    <w:p w14:paraId="3F3C2D22" w14:textId="4CDBB71B" w:rsidR="00B70F49" w:rsidRDefault="00B70F49" w:rsidP="00B70F49">
      <w:pPr>
        <w:pStyle w:val="ListParagraph"/>
        <w:numPr>
          <w:ilvl w:val="0"/>
          <w:numId w:val="3"/>
        </w:numPr>
        <w:spacing w:after="0"/>
      </w:pPr>
      <w:r>
        <w:t>ICT Diluent stability is 30 days if reagent is uncapped and onboard or until the expiration date on the bottle when stored at 15-30C.</w:t>
      </w:r>
    </w:p>
    <w:p w14:paraId="240C655F" w14:textId="6981F7E9" w:rsidR="00B70F49" w:rsidRDefault="00B70F49" w:rsidP="00B70F49">
      <w:pPr>
        <w:pStyle w:val="ListParagraph"/>
        <w:numPr>
          <w:ilvl w:val="0"/>
          <w:numId w:val="3"/>
        </w:numPr>
        <w:spacing w:after="0"/>
      </w:pPr>
      <w:r>
        <w:t>ICT Reference solution is stable 90 days if reagent is onboard the instrument or until the expiration date on the bottle when stored at 15-30C.</w:t>
      </w:r>
    </w:p>
    <w:p w14:paraId="3A10A1A7" w14:textId="0C5E78AC" w:rsidR="00B70F49" w:rsidRDefault="00B70F49" w:rsidP="00B70F49">
      <w:pPr>
        <w:pStyle w:val="ListParagraph"/>
        <w:numPr>
          <w:ilvl w:val="0"/>
          <w:numId w:val="3"/>
        </w:numPr>
        <w:spacing w:after="0"/>
      </w:pPr>
      <w:r>
        <w:t>ICT Cleaning fluid which has been prepared is stable on</w:t>
      </w:r>
      <w:r w:rsidR="00B660B0">
        <w:t>-</w:t>
      </w:r>
      <w:r>
        <w:t>board the instrument for 14 days or 12 tests (whichever comes first) OR at 2-8C when kept tightly capped.</w:t>
      </w:r>
    </w:p>
    <w:p w14:paraId="20295060" w14:textId="57388BE9" w:rsidR="00B70F49" w:rsidRDefault="00B70F49" w:rsidP="00B70F49">
      <w:pPr>
        <w:pStyle w:val="ListParagraph"/>
        <w:numPr>
          <w:ilvl w:val="0"/>
          <w:numId w:val="3"/>
        </w:numPr>
        <w:spacing w:after="0"/>
      </w:pPr>
      <w:r>
        <w:t>ICT Calibrator: Unopened at 15-30C until expiration date on the bottle. Opened at 2-8C for 7 days. Onboard stability for 6 days (144 hours).</w:t>
      </w:r>
    </w:p>
    <w:p w14:paraId="4D3BB3EC" w14:textId="5142D7D2" w:rsidR="00A1434A" w:rsidRDefault="00D1149E" w:rsidP="00D1149E">
      <w:pPr>
        <w:spacing w:after="0"/>
        <w:ind w:left="360"/>
      </w:pPr>
      <w:r>
        <w:t xml:space="preserve">Note: Reagent on board stability is determined by the instrument when the reagent is put into use and stored electronically. The instrument flags the user with information about expiration </w:t>
      </w:r>
      <w:r w:rsidR="00B70F49">
        <w:t>dates and</w:t>
      </w:r>
      <w:r>
        <w:t xml:space="preserve"> will not perform testing beyond the reagent’s </w:t>
      </w:r>
      <w:r w:rsidR="00B660B0">
        <w:t>on-board</w:t>
      </w:r>
      <w:r>
        <w:t xml:space="preserve">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2F195BB3" w:rsidR="00A1434A" w:rsidRDefault="00A1434A" w:rsidP="00A1434A">
      <w:pPr>
        <w:spacing w:after="0"/>
      </w:pPr>
      <w:r>
        <w:t>CALIBRATION</w:t>
      </w:r>
    </w:p>
    <w:p w14:paraId="7ADFB126" w14:textId="729BF7D0" w:rsidR="007E215F" w:rsidRDefault="007E215F" w:rsidP="00A1434A">
      <w:pPr>
        <w:spacing w:after="0"/>
      </w:pPr>
    </w:p>
    <w:p w14:paraId="2EEC90C5" w14:textId="77777777" w:rsidR="00A1434A" w:rsidRDefault="00A1434A" w:rsidP="00A1434A">
      <w:pPr>
        <w:spacing w:after="0"/>
      </w:pPr>
    </w:p>
    <w:p w14:paraId="1109EBA3" w14:textId="22A8735F" w:rsidR="00827D71" w:rsidRDefault="00A1434A" w:rsidP="00A1434A">
      <w:pPr>
        <w:spacing w:after="0"/>
      </w:pPr>
      <w:r>
        <w:t xml:space="preserve">Calibration is stable for approximately </w:t>
      </w:r>
      <w:r w:rsidR="007D216B">
        <w:t>24</w:t>
      </w:r>
      <w:r>
        <w:t xml:space="preserve"> hours and calibration is required with each new lot number of reagent.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Calibration is validated by running 2 levels of QC after each calibration. If QC values are acceptable, the calibration is considered valid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7415D555" w:rsidR="00172D4D" w:rsidRDefault="00172D4D" w:rsidP="005C7C89">
      <w:pPr>
        <w:spacing w:after="0"/>
      </w:pPr>
      <w:r>
        <w:t>Material: BioRad Unassayed Chemistry Control, levels 1 and 2.</w:t>
      </w:r>
    </w:p>
    <w:p w14:paraId="7DE1B51F" w14:textId="77777777" w:rsidR="00172D4D" w:rsidRDefault="00172D4D" w:rsidP="005C7C89">
      <w:pPr>
        <w:spacing w:after="0"/>
      </w:pPr>
    </w:p>
    <w:p w14:paraId="1361EF08" w14:textId="2DA27D2B"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w:t>
      </w:r>
      <w:r w:rsidR="00E16F78">
        <w:t xml:space="preserve"> for 15 days at 2-8C, except</w:t>
      </w:r>
      <w:r>
        <w:t xml:space="preserv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1772C2C5" w14:textId="77777777" w:rsidR="00F14CF1" w:rsidRDefault="00F14CF1" w:rsidP="005C7C89">
      <w:pPr>
        <w:spacing w:after="0"/>
      </w:pPr>
    </w:p>
    <w:p w14:paraId="215FD9F1" w14:textId="113A37F2" w:rsidR="00F14CF1" w:rsidRDefault="00F14CF1" w:rsidP="005C7C89">
      <w:pPr>
        <w:spacing w:after="0"/>
      </w:pPr>
      <w:r>
        <w:t xml:space="preserve">Frequency: 2 levels of </w:t>
      </w:r>
      <w:r w:rsidR="00843D01">
        <w:t xml:space="preserve">Unassayed </w:t>
      </w:r>
      <w:r>
        <w:t xml:space="preserve">QC are to be run every </w:t>
      </w:r>
      <w:r w:rsidR="007D216B">
        <w:t>8</w:t>
      </w:r>
      <w:r>
        <w:t xml:space="preserve"> hours.</w:t>
      </w:r>
      <w:r w:rsidR="00FB497D">
        <w:t xml:space="preserve"> </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lastRenderedPageBreak/>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1F4808BF" w:rsidR="002B43DB" w:rsidRDefault="002B43DB" w:rsidP="00A20DDC">
      <w:pPr>
        <w:spacing w:after="0"/>
      </w:pPr>
      <w:r>
        <w:t>PROCEDURE LIMITATIONS</w:t>
      </w:r>
    </w:p>
    <w:p w14:paraId="29844BF3" w14:textId="53626478" w:rsidR="00B660B0" w:rsidRDefault="00B660B0" w:rsidP="00A20DDC">
      <w:pPr>
        <w:spacing w:after="0"/>
      </w:pPr>
    </w:p>
    <w:p w14:paraId="00B53C78" w14:textId="6AC63B34" w:rsidR="00B660B0" w:rsidRDefault="005C2255" w:rsidP="00A20DDC">
      <w:pPr>
        <w:spacing w:after="0"/>
      </w:pPr>
      <w:r>
        <w:t>Specimens for potassium displaying a 3-4+ hemolysis may yield falsely increased results.</w:t>
      </w:r>
    </w:p>
    <w:p w14:paraId="51DA1F58" w14:textId="31BC1977" w:rsidR="005C2255" w:rsidRDefault="005C2255" w:rsidP="00A20DDC">
      <w:pPr>
        <w:spacing w:after="0"/>
      </w:pPr>
    </w:p>
    <w:p w14:paraId="1829ADF8" w14:textId="1BD33EC3" w:rsidR="005C2255" w:rsidRDefault="005C2255" w:rsidP="00A20DDC">
      <w:pPr>
        <w:spacing w:after="0"/>
      </w:pPr>
      <w:r>
        <w:t>If the sample is 2+ hemolyzed, a comment is attached: “Analytic interference by hemolysis (2+) may yield a false elevation of the result by as much as 9%.</w:t>
      </w:r>
    </w:p>
    <w:p w14:paraId="121B78EA" w14:textId="42FA53B8" w:rsidR="005C2255" w:rsidRDefault="005C2255" w:rsidP="00A20DDC">
      <w:pPr>
        <w:spacing w:after="0"/>
      </w:pPr>
    </w:p>
    <w:p w14:paraId="186A81DA" w14:textId="65498CE2" w:rsidR="005C2255" w:rsidRDefault="005C2255" w:rsidP="00A20DDC">
      <w:pPr>
        <w:spacing w:after="0"/>
      </w:pPr>
      <w:r>
        <w:t>A comment is attached for all specimens with a 2+ or greater lipemia grading: “Analytic interference by lipemia may yield a false decrease in the result.” Refer to the HIL procedure for further information on reporting potassium with positive indices.</w:t>
      </w:r>
    </w:p>
    <w:p w14:paraId="51AEB788" w14:textId="36C3B8CB" w:rsidR="002C1800" w:rsidRDefault="002C1800" w:rsidP="00A20DDC">
      <w:pPr>
        <w:spacing w:after="0"/>
      </w:pPr>
    </w:p>
    <w:p w14:paraId="0D951C2A" w14:textId="5767F4E4" w:rsidR="002C1800" w:rsidRDefault="002C1800" w:rsidP="00A20DDC">
      <w:pPr>
        <w:spacing w:after="0"/>
      </w:pPr>
      <w:r>
        <w:t>If collected in a non-separated collection tube the sample must be less than 2 hours old or the serum/plasma must be removed from the red cells in that time.</w:t>
      </w:r>
    </w:p>
    <w:p w14:paraId="6F982C1D" w14:textId="3BE1423B" w:rsidR="007D216B" w:rsidRDefault="007D216B" w:rsidP="00A20DDC">
      <w:pPr>
        <w:spacing w:after="0"/>
      </w:pPr>
    </w:p>
    <w:p w14:paraId="4BB6A846" w14:textId="0DC2F5BB" w:rsidR="007D216B" w:rsidRDefault="007D216B" w:rsidP="00A20DDC">
      <w:pPr>
        <w:spacing w:after="0"/>
      </w:pPr>
      <w:r>
        <w:t>Multiple myeloma samples are known to give low results on diluted ISE systems due to the high level of protein in the sample.</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18BFFD89" w:rsidR="00565664" w:rsidRDefault="00565664" w:rsidP="00A20DDC">
      <w:pPr>
        <w:spacing w:after="0"/>
      </w:pPr>
      <w:r>
        <w:t xml:space="preserve">ABBOTT </w:t>
      </w:r>
      <w:r w:rsidR="007D216B">
        <w:t>ICT</w:t>
      </w:r>
      <w:r>
        <w:t xml:space="preserve"> package insert</w:t>
      </w:r>
    </w:p>
    <w:p w14:paraId="35ED591F" w14:textId="6D80CE8E" w:rsidR="007D7748" w:rsidRDefault="007D7748" w:rsidP="00A20DDC">
      <w:pPr>
        <w:spacing w:after="0"/>
      </w:pPr>
    </w:p>
    <w:p w14:paraId="018104B1" w14:textId="0EC8A09A" w:rsidR="007D7748" w:rsidRPr="001F05E7" w:rsidRDefault="007D7748" w:rsidP="00A20DDC">
      <w:pPr>
        <w:spacing w:after="0"/>
      </w:pPr>
      <w:r>
        <w:t xml:space="preserve">ABBOTT </w:t>
      </w:r>
      <w:r w:rsidR="007D216B">
        <w:t xml:space="preserve">ICT </w:t>
      </w:r>
      <w:r>
        <w:t>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323EC"/>
    <w:rsid w:val="00172D4D"/>
    <w:rsid w:val="001A183B"/>
    <w:rsid w:val="001B0FEC"/>
    <w:rsid w:val="001F05E7"/>
    <w:rsid w:val="002562A5"/>
    <w:rsid w:val="0027339F"/>
    <w:rsid w:val="002B43DB"/>
    <w:rsid w:val="002C1800"/>
    <w:rsid w:val="003B0F6B"/>
    <w:rsid w:val="003F370F"/>
    <w:rsid w:val="00483F89"/>
    <w:rsid w:val="004940EF"/>
    <w:rsid w:val="00536B13"/>
    <w:rsid w:val="00557C62"/>
    <w:rsid w:val="00565664"/>
    <w:rsid w:val="00597997"/>
    <w:rsid w:val="005C2255"/>
    <w:rsid w:val="005C7C89"/>
    <w:rsid w:val="0063373A"/>
    <w:rsid w:val="006D1247"/>
    <w:rsid w:val="006D3313"/>
    <w:rsid w:val="007D216B"/>
    <w:rsid w:val="007D4C8C"/>
    <w:rsid w:val="007D7748"/>
    <w:rsid w:val="007E215F"/>
    <w:rsid w:val="007F55D9"/>
    <w:rsid w:val="00815CAB"/>
    <w:rsid w:val="00827D71"/>
    <w:rsid w:val="00843D01"/>
    <w:rsid w:val="00874661"/>
    <w:rsid w:val="008814F9"/>
    <w:rsid w:val="00893F3B"/>
    <w:rsid w:val="009F3599"/>
    <w:rsid w:val="00A1434A"/>
    <w:rsid w:val="00A20DDC"/>
    <w:rsid w:val="00A57552"/>
    <w:rsid w:val="00A72991"/>
    <w:rsid w:val="00A854B4"/>
    <w:rsid w:val="00AC01F8"/>
    <w:rsid w:val="00B660B0"/>
    <w:rsid w:val="00B70F49"/>
    <w:rsid w:val="00C12AAE"/>
    <w:rsid w:val="00C625C0"/>
    <w:rsid w:val="00C822DB"/>
    <w:rsid w:val="00CA5B37"/>
    <w:rsid w:val="00CA7266"/>
    <w:rsid w:val="00CC5ECC"/>
    <w:rsid w:val="00D1149E"/>
    <w:rsid w:val="00D769B8"/>
    <w:rsid w:val="00E16F78"/>
    <w:rsid w:val="00E44E51"/>
    <w:rsid w:val="00E61B68"/>
    <w:rsid w:val="00E844A7"/>
    <w:rsid w:val="00EF0150"/>
    <w:rsid w:val="00EF36AA"/>
    <w:rsid w:val="00EF7F2A"/>
    <w:rsid w:val="00F04E30"/>
    <w:rsid w:val="00F14CF1"/>
    <w:rsid w:val="00F336EE"/>
    <w:rsid w:val="00F66E7F"/>
    <w:rsid w:val="00F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2021-11-30T03:17:00Z</dcterms:created>
  <dcterms:modified xsi:type="dcterms:W3CDTF">2021-11-30T03:32:00Z</dcterms:modified>
</cp:coreProperties>
</file>