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3012E051" w:rsidR="00C1150C" w:rsidRDefault="0080714D" w:rsidP="004E1096">
      <w:pPr>
        <w:jc w:val="center"/>
      </w:pPr>
      <w:r>
        <w:t>TRIGLYCERIDE</w:t>
      </w:r>
      <w:r w:rsidR="004E1096">
        <w:t xml:space="preserve"> PROCEDURE FOR ALINITY</w:t>
      </w:r>
    </w:p>
    <w:p w14:paraId="4D397B84" w14:textId="23C9F2DA" w:rsidR="004E1096" w:rsidRDefault="004E1096" w:rsidP="004E1096">
      <w:r>
        <w:t>PRINCIPLE</w:t>
      </w:r>
    </w:p>
    <w:p w14:paraId="5A390388" w14:textId="3803B39B" w:rsidR="00B322ED" w:rsidRDefault="0080714D" w:rsidP="004E1096">
      <w:r>
        <w:t xml:space="preserve">Triglycerides are a family of lipids absorbed from the diet and produced endogenously from carbohydrates and fatty acids. Measurement of triglyceride is important in the diagnosis and management of hyperlipidemia. These diseases can be genetic or secondary </w:t>
      </w:r>
      <w:r w:rsidR="00AD4738">
        <w:t>to other disorders including nephrosis, diabetes mellitus, and endocrine disturbances. The National Cholesterol Education Program (NCEP) cites evidence that triglycerides are an independent risk factor for atherosclerosis. Individuals with hypertension, obesity and/or diabetes are at greater risk than are those without these conditions.</w:t>
      </w:r>
    </w:p>
    <w:p w14:paraId="211570FC" w14:textId="009B93CC" w:rsidR="000C2609" w:rsidRDefault="000C2609" w:rsidP="004E1096">
      <w:r>
        <w:t>The adult treatment panel of the NCEP recommends that all adults 20 years of age and over should have a fasting lipoprotein</w:t>
      </w:r>
      <w:r w:rsidR="00784110">
        <w:t xml:space="preserve"> profile (total cholesterol, LDL cholesterol, HCL cholesterol</w:t>
      </w:r>
      <w:r w:rsidR="00343C7D">
        <w:t>, and triglycerides) once every 5 years to screen for coronary heart disease risk.</w:t>
      </w:r>
    </w:p>
    <w:p w14:paraId="1B576F6D" w14:textId="3B5EBAFE" w:rsidR="002C2249" w:rsidRDefault="004E1096" w:rsidP="004E1096">
      <w:r>
        <w:t>Methodology:</w:t>
      </w:r>
      <w:r w:rsidR="002C2249">
        <w:t xml:space="preserve"> Glycerol Phosphate Oxidase</w:t>
      </w:r>
      <w:r>
        <w:t xml:space="preserve"> </w:t>
      </w:r>
    </w:p>
    <w:p w14:paraId="438A4D46" w14:textId="64A14EC3" w:rsidR="004E1096" w:rsidRDefault="004E1096" w:rsidP="004E1096">
      <w:r>
        <w:t>SCOPE</w:t>
      </w:r>
    </w:p>
    <w:p w14:paraId="1DBF2A8F" w14:textId="1268ADC1" w:rsidR="004E1096" w:rsidRDefault="004E1096" w:rsidP="004E1096">
      <w:r>
        <w:t xml:space="preserve">The </w:t>
      </w:r>
      <w:r w:rsidR="002C2249">
        <w:t>Triglyceride</w:t>
      </w:r>
      <w:r>
        <w:t xml:space="preserve"> assay is used for the quantitation of </w:t>
      </w:r>
      <w:r w:rsidR="00601BF2">
        <w:t xml:space="preserve"> triglyceride in human serum or plasma</w:t>
      </w:r>
      <w:r>
        <w:t xml:space="preserve"> on the Alinity C analyzer performed in the Texas Health Allen laboratory.</w:t>
      </w:r>
      <w:r w:rsidR="00881EFF">
        <w:t xml:space="preserve"> </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65E52531" w:rsidR="00767F7C" w:rsidRDefault="00B212EC" w:rsidP="004E1096">
      <w:pPr>
        <w:spacing w:after="0"/>
      </w:pPr>
      <w:r>
        <w:t>Serum</w:t>
      </w:r>
      <w:r w:rsidR="00767F7C">
        <w:t xml:space="preserve"> and </w:t>
      </w:r>
      <w:r>
        <w:t>plasma</w:t>
      </w:r>
      <w:r w:rsidR="00767F7C">
        <w:t xml:space="preserve"> are acceptable specimens. </w:t>
      </w:r>
      <w:r w:rsidR="00906FB3">
        <w:t>Patient status is preferably fasting.</w:t>
      </w:r>
    </w:p>
    <w:p w14:paraId="6B024595" w14:textId="5134506D" w:rsidR="00767F7C" w:rsidRDefault="00767F7C" w:rsidP="004E1096">
      <w:pPr>
        <w:spacing w:after="0"/>
      </w:pPr>
    </w:p>
    <w:p w14:paraId="5EFE43A2" w14:textId="15C33D6E" w:rsidR="00767F7C" w:rsidRDefault="00B212EC" w:rsidP="004E1096">
      <w:pPr>
        <w:spacing w:after="0"/>
      </w:pPr>
      <w:r>
        <w:t>Serum</w:t>
      </w:r>
      <w:r w:rsidR="00767F7C">
        <w:t xml:space="preserve">: </w:t>
      </w:r>
      <w:r w:rsidR="00481C30">
        <w:t xml:space="preserve">Use serum with or without gel barrier. Ensure complete clot formation has taken place prior to centrifugation. </w:t>
      </w:r>
      <w:r w:rsidR="004258F3">
        <w:t>If the specimen is centrifuged before a complete clot forms, the presence of fibrin</w:t>
      </w:r>
      <w:r w:rsidR="00E6260A">
        <w:t xml:space="preserve"> may cause erroneous results. Separate from RBCs as soon after collections as possible.</w:t>
      </w:r>
    </w:p>
    <w:p w14:paraId="5E349465" w14:textId="222DDA02" w:rsidR="00767F7C" w:rsidRDefault="00767F7C" w:rsidP="004E1096">
      <w:pPr>
        <w:spacing w:after="0"/>
      </w:pPr>
    </w:p>
    <w:p w14:paraId="60F0FF7C" w14:textId="68C63A78" w:rsidR="00906FB3" w:rsidRDefault="00E6260A" w:rsidP="004E1096">
      <w:pPr>
        <w:spacing w:after="0"/>
      </w:pPr>
      <w:r>
        <w:t>Plasma: Use plasma with or without gel barrier including green microtainer tubes (acceptable anticoagulant: lithium heparin). Separate from RBCs as soon as possible after collection.</w:t>
      </w:r>
    </w:p>
    <w:p w14:paraId="257F9BC2" w14:textId="77777777" w:rsidR="00C10686" w:rsidRDefault="00C10686" w:rsidP="004E1096">
      <w:pPr>
        <w:spacing w:after="0"/>
      </w:pPr>
    </w:p>
    <w:p w14:paraId="79161C7B" w14:textId="0FEF7975" w:rsidR="00C10686" w:rsidRDefault="00767F7C" w:rsidP="004E1096">
      <w:pPr>
        <w:spacing w:after="0"/>
      </w:pPr>
      <w:r>
        <w:t>SPECIMEN STABILITY</w:t>
      </w:r>
      <w:r w:rsidR="00C10686">
        <w:t>:</w:t>
      </w:r>
    </w:p>
    <w:p w14:paraId="27A0FBFE" w14:textId="328931E6" w:rsidR="00767F7C" w:rsidRDefault="00767F7C" w:rsidP="00C10686">
      <w:pPr>
        <w:spacing w:after="0"/>
        <w:ind w:firstLine="720"/>
      </w:pPr>
      <w:r>
        <w:t>20-25C is good for</w:t>
      </w:r>
      <w:r w:rsidR="0011474D">
        <w:t xml:space="preserve"> </w:t>
      </w:r>
      <w:r w:rsidR="00640387">
        <w:t>2</w:t>
      </w:r>
      <w:r w:rsidR="0011474D">
        <w:t xml:space="preserve"> </w:t>
      </w:r>
      <w:r w:rsidR="00640387">
        <w:t>days</w:t>
      </w:r>
    </w:p>
    <w:p w14:paraId="1714BC9E" w14:textId="04E6B668" w:rsidR="00767F7C" w:rsidRDefault="00767F7C" w:rsidP="00C10686">
      <w:pPr>
        <w:spacing w:after="0"/>
        <w:ind w:firstLine="720"/>
      </w:pPr>
      <w:r>
        <w:t xml:space="preserve">2-8C is good for </w:t>
      </w:r>
      <w:r w:rsidR="00C10686">
        <w:t>7 days</w:t>
      </w:r>
      <w:r>
        <w:t xml:space="preserve"> </w:t>
      </w:r>
    </w:p>
    <w:p w14:paraId="6960429E" w14:textId="570FB934" w:rsidR="00767F7C" w:rsidRDefault="00767F7C" w:rsidP="00640387">
      <w:pPr>
        <w:spacing w:after="0"/>
        <w:ind w:firstLine="720"/>
      </w:pPr>
      <w:r>
        <w:t xml:space="preserve">-20C is good for </w:t>
      </w:r>
      <w:r w:rsidR="00C10686">
        <w:t>1</w:t>
      </w:r>
      <w:r w:rsidR="0011474D">
        <w:t xml:space="preserve"> </w:t>
      </w:r>
      <w:r w:rsidR="00640387">
        <w:t>year</w:t>
      </w:r>
    </w:p>
    <w:p w14:paraId="1F43D4DE" w14:textId="77777777" w:rsidR="007D5130" w:rsidRDefault="007D5130"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lastRenderedPageBreak/>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5824BCC3" w:rsidR="0056071E" w:rsidRDefault="0056071E" w:rsidP="0056071E">
      <w:pPr>
        <w:pStyle w:val="ListParagraph"/>
        <w:numPr>
          <w:ilvl w:val="0"/>
          <w:numId w:val="2"/>
        </w:numPr>
        <w:spacing w:after="0"/>
      </w:pPr>
      <w:r>
        <w:t xml:space="preserve">Unopened reagent is stable until the expiration date when stored at </w:t>
      </w:r>
      <w:r w:rsidR="00EC640E">
        <w:t>15-30</w:t>
      </w:r>
      <w:r w:rsidR="00B61E24">
        <w:t>C</w:t>
      </w:r>
      <w:r>
        <w:t>.</w:t>
      </w:r>
    </w:p>
    <w:p w14:paraId="07DB6617" w14:textId="14B92260" w:rsidR="0056071E" w:rsidRDefault="0056071E" w:rsidP="0056071E">
      <w:pPr>
        <w:pStyle w:val="ListParagraph"/>
        <w:numPr>
          <w:ilvl w:val="0"/>
          <w:numId w:val="2"/>
        </w:numPr>
        <w:spacing w:after="0"/>
      </w:pPr>
      <w:r>
        <w:t xml:space="preserve">Uncapped On-board reagent is stable for </w:t>
      </w:r>
      <w:r w:rsidR="00F43F3F">
        <w:t>4</w:t>
      </w:r>
      <w:r w:rsidR="008145DC">
        <w:t>2</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6BCBD119" w:rsidR="0056071E" w:rsidRDefault="0056071E" w:rsidP="0056071E">
      <w:pPr>
        <w:pStyle w:val="ListParagraph"/>
        <w:numPr>
          <w:ilvl w:val="0"/>
          <w:numId w:val="3"/>
        </w:numPr>
        <w:spacing w:after="0"/>
      </w:pPr>
      <w:r>
        <w:t xml:space="preserve">Unopened </w:t>
      </w:r>
      <w:r w:rsidR="00035C3D">
        <w:t>–</w:t>
      </w:r>
      <w:r>
        <w:t xml:space="preserve"> </w:t>
      </w:r>
      <w:r w:rsidR="00035C3D">
        <w:t xml:space="preserve">until expiration date on bottle when stored at </w:t>
      </w:r>
      <w:r w:rsidR="00227D92">
        <w:t>2-8</w:t>
      </w:r>
      <w:r w:rsidR="00035C3D">
        <w:t>C</w:t>
      </w:r>
    </w:p>
    <w:p w14:paraId="615BCA10" w14:textId="783D9E72" w:rsidR="00035C3D" w:rsidRDefault="00035C3D" w:rsidP="0056071E">
      <w:pPr>
        <w:pStyle w:val="ListParagraph"/>
        <w:numPr>
          <w:ilvl w:val="0"/>
          <w:numId w:val="3"/>
        </w:numPr>
        <w:spacing w:after="0"/>
      </w:pPr>
      <w:r>
        <w:t xml:space="preserve">Opened – </w:t>
      </w:r>
      <w:r w:rsidR="00A85F90">
        <w:t>7</w:t>
      </w:r>
      <w:r>
        <w:t xml:space="preserve">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2DDF9E92" w:rsidR="00035C3D" w:rsidRDefault="00035C3D" w:rsidP="00035C3D">
      <w:pPr>
        <w:spacing w:after="0"/>
      </w:pPr>
      <w:r>
        <w:t xml:space="preserve">Calibration is stable for approximately </w:t>
      </w:r>
      <w:r w:rsidR="00F63D2C">
        <w:t>41</w:t>
      </w:r>
      <w:r>
        <w:t xml:space="preserve"> days (</w:t>
      </w:r>
      <w:r w:rsidR="00F63D2C">
        <w:t>984</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55CABA65" w:rsidR="007C588D" w:rsidRDefault="007C588D" w:rsidP="00035C3D">
      <w:pPr>
        <w:spacing w:after="0"/>
      </w:pPr>
      <w:r>
        <w:t xml:space="preserve">For information on calibrator values, refer to the </w:t>
      </w:r>
      <w:proofErr w:type="spellStart"/>
      <w:r w:rsidR="00CB6549">
        <w:t>Multiconstiituent</w:t>
      </w:r>
      <w:proofErr w:type="spellEnd"/>
      <w:r>
        <w:t xml:space="preserve"> Calibrator</w:t>
      </w:r>
      <w:r w:rsidR="00CB6549">
        <w:t xml:space="preserve"> (MCC)</w:t>
      </w:r>
      <w:r>
        <w:t xml:space="preserve"> package insert.</w:t>
      </w:r>
      <w:r w:rsidR="003C1519">
        <w:t xml:space="preserve"> </w:t>
      </w:r>
      <w:r>
        <w:t>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lastRenderedPageBreak/>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1F5284B5" w14:textId="4FFEE957" w:rsidR="00BB239C" w:rsidRDefault="003E33D8" w:rsidP="004701A7">
      <w:pPr>
        <w:spacing w:after="0"/>
      </w:pPr>
      <w:r>
        <w:t>Material</w:t>
      </w:r>
      <w:r w:rsidR="00FA4FCE">
        <w:t>: Serum</w:t>
      </w:r>
      <w:r w:rsidR="00BB239C">
        <w:t xml:space="preserve">: BioRad </w:t>
      </w:r>
      <w:r w:rsidR="00E420E0">
        <w:t>Unassayed chemistry</w:t>
      </w:r>
      <w:r w:rsidR="00BB239C">
        <w:t xml:space="preserve"> control levels 1 and 2. </w:t>
      </w:r>
    </w:p>
    <w:p w14:paraId="3891C347" w14:textId="77777777" w:rsidR="00176152" w:rsidRDefault="00176152" w:rsidP="004701A7">
      <w:pPr>
        <w:spacing w:after="0"/>
      </w:pPr>
    </w:p>
    <w:p w14:paraId="48E9F94C" w14:textId="1DD34B4C" w:rsidR="0048022F" w:rsidRDefault="00060C9A" w:rsidP="004701A7">
      <w:pPr>
        <w:spacing w:after="0"/>
      </w:pPr>
      <w:r>
        <w:t xml:space="preserve">Storage and Stability: </w:t>
      </w:r>
      <w:r w:rsidR="00E420E0">
        <w:t>serum:</w:t>
      </w:r>
      <w:r w:rsidR="000432D3">
        <w:t xml:space="preserve"> </w:t>
      </w:r>
      <w:r>
        <w:t xml:space="preserve">stable until expiration date printed on the bottle when stored unopened at </w:t>
      </w:r>
      <w:r w:rsidR="000471B2">
        <w:t>-20</w:t>
      </w:r>
      <w:r w:rsidR="00B459DD">
        <w:t>C</w:t>
      </w:r>
      <w:r w:rsidR="00B94C7B">
        <w:t xml:space="preserve">. Once thawed, the control is stable for </w:t>
      </w:r>
      <w:r w:rsidR="000471B2">
        <w:t>15</w:t>
      </w:r>
      <w:r w:rsidR="00B94C7B">
        <w:t xml:space="preserve"> days</w:t>
      </w:r>
      <w:r w:rsidR="00FE4C0A">
        <w:t xml:space="preserve"> at 2-8C</w:t>
      </w:r>
      <w:r w:rsidR="000471B2">
        <w:t>, except bilirubin which is stable for 6 days</w:t>
      </w:r>
      <w:r w:rsidR="008D2EBD">
        <w:t>.</w:t>
      </w:r>
      <w:r w:rsidR="00510BCD">
        <w:t xml:space="preserve"> Thaw control bottle at room temperature until completely thawed. Swirl gently to ensure homogeneity.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0D1F8DFD" w14:textId="77777777" w:rsidR="004A246C" w:rsidRDefault="004A246C" w:rsidP="004A246C">
      <w:pPr>
        <w:spacing w:after="0"/>
      </w:pPr>
    </w:p>
    <w:p w14:paraId="57E921A5" w14:textId="384BB914" w:rsidR="004A246C" w:rsidRDefault="004A246C" w:rsidP="004A246C">
      <w:pPr>
        <w:spacing w:after="0"/>
      </w:pPr>
      <w:r>
        <w:t>PROCEDURE NOTES:</w:t>
      </w:r>
    </w:p>
    <w:p w14:paraId="6A9F328C" w14:textId="77777777" w:rsidR="004A246C" w:rsidRDefault="004A246C" w:rsidP="004A246C">
      <w:pPr>
        <w:spacing w:after="0"/>
      </w:pPr>
    </w:p>
    <w:p w14:paraId="0CF69AFB" w14:textId="6C0EFA1D" w:rsidR="004A246C" w:rsidRDefault="004A246C" w:rsidP="004A246C">
      <w:pPr>
        <w:spacing w:after="0"/>
      </w:pPr>
      <w:r>
        <w:t>If the triglyceride level is greater than 400 mg/dL</w:t>
      </w:r>
      <w:r w:rsidR="009D62A1">
        <w:t xml:space="preserve"> and </w:t>
      </w:r>
      <w:r w:rsidR="004E4CAB">
        <w:t xml:space="preserve">a lipid profile is ordered, </w:t>
      </w:r>
      <w:r w:rsidR="00B10642">
        <w:t>a comment will auto-populate stating “LDL cannot be calculated because Triglyceride is &gt;400 mg/dL”</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lastRenderedPageBreak/>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61A6517D" w14:textId="2EBF5842" w:rsidR="00623965" w:rsidRDefault="00623965" w:rsidP="000D7657">
      <w:pPr>
        <w:pStyle w:val="ListParagraph"/>
        <w:numPr>
          <w:ilvl w:val="0"/>
          <w:numId w:val="6"/>
        </w:numPr>
        <w:spacing w:after="0"/>
      </w:pPr>
      <w:r>
        <w:rPr>
          <w:rFonts w:cstheme="minorHAnsi"/>
        </w:rPr>
        <w:t>≥</w:t>
      </w:r>
      <w:r w:rsidR="00B23DFA">
        <w:t>4+ hemolysis may yield a false elevation of the result as much as 11%</w:t>
      </w:r>
    </w:p>
    <w:p w14:paraId="715DBF5B" w14:textId="057603AD" w:rsidR="00B556CF" w:rsidRDefault="00B556CF" w:rsidP="000D7657">
      <w:pPr>
        <w:pStyle w:val="ListParagraph"/>
        <w:numPr>
          <w:ilvl w:val="0"/>
          <w:numId w:val="6"/>
        </w:numPr>
        <w:spacing w:after="0"/>
      </w:pPr>
      <w:r>
        <w:rPr>
          <w:rFonts w:cstheme="minorHAnsi"/>
        </w:rPr>
        <w:t>≥</w:t>
      </w:r>
      <w:r>
        <w:t>4+ icterus may yield a false elevation of the result by as much as 11%</w:t>
      </w:r>
    </w:p>
    <w:p w14:paraId="407A73B9" w14:textId="1CF0EC4F" w:rsidR="00E01FEB" w:rsidRDefault="00517A32" w:rsidP="000D7657">
      <w:pPr>
        <w:pStyle w:val="ListParagraph"/>
        <w:numPr>
          <w:ilvl w:val="0"/>
          <w:numId w:val="6"/>
        </w:numPr>
        <w:spacing w:after="0"/>
      </w:pPr>
      <w:r>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477AA8D5" w14:textId="4F061D60" w:rsidR="003539E8" w:rsidRDefault="003539E8" w:rsidP="000D7657">
      <w:pPr>
        <w:spacing w:after="0"/>
      </w:pPr>
      <w:r>
        <w:t xml:space="preserve">ABBOTT </w:t>
      </w:r>
      <w:r w:rsidR="00AF5EC8">
        <w:t>Triglyceride</w:t>
      </w:r>
      <w:r>
        <w:t xml:space="preserve"> package insert</w:t>
      </w:r>
    </w:p>
    <w:p w14:paraId="67A3886C" w14:textId="77777777" w:rsidR="000D7657" w:rsidRDefault="000D7657" w:rsidP="000D7657">
      <w:pPr>
        <w:spacing w:after="0"/>
      </w:pP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432D3"/>
    <w:rsid w:val="000471B2"/>
    <w:rsid w:val="00060C9A"/>
    <w:rsid w:val="000C2609"/>
    <w:rsid w:val="000D7657"/>
    <w:rsid w:val="000E7255"/>
    <w:rsid w:val="0011474D"/>
    <w:rsid w:val="00134D51"/>
    <w:rsid w:val="0016064F"/>
    <w:rsid w:val="00176152"/>
    <w:rsid w:val="001F65EE"/>
    <w:rsid w:val="00206EC0"/>
    <w:rsid w:val="0021504E"/>
    <w:rsid w:val="00227D92"/>
    <w:rsid w:val="00284265"/>
    <w:rsid w:val="002A119C"/>
    <w:rsid w:val="002B3A84"/>
    <w:rsid w:val="002C2249"/>
    <w:rsid w:val="002C25CA"/>
    <w:rsid w:val="002D12C4"/>
    <w:rsid w:val="00311617"/>
    <w:rsid w:val="00343C7D"/>
    <w:rsid w:val="003539E8"/>
    <w:rsid w:val="003C1519"/>
    <w:rsid w:val="003D17DB"/>
    <w:rsid w:val="003E33D8"/>
    <w:rsid w:val="003F5A00"/>
    <w:rsid w:val="0042052D"/>
    <w:rsid w:val="004249DA"/>
    <w:rsid w:val="004258F3"/>
    <w:rsid w:val="00433E7F"/>
    <w:rsid w:val="004436C4"/>
    <w:rsid w:val="004701A7"/>
    <w:rsid w:val="0048022F"/>
    <w:rsid w:val="00481691"/>
    <w:rsid w:val="00481C30"/>
    <w:rsid w:val="00486D84"/>
    <w:rsid w:val="004A246C"/>
    <w:rsid w:val="004A6B2C"/>
    <w:rsid w:val="004E1096"/>
    <w:rsid w:val="004E4CAB"/>
    <w:rsid w:val="004F17A2"/>
    <w:rsid w:val="00510BCD"/>
    <w:rsid w:val="005176C7"/>
    <w:rsid w:val="00517A32"/>
    <w:rsid w:val="0056071E"/>
    <w:rsid w:val="005C396D"/>
    <w:rsid w:val="005C5C7C"/>
    <w:rsid w:val="00601BF2"/>
    <w:rsid w:val="00623965"/>
    <w:rsid w:val="0063565A"/>
    <w:rsid w:val="00640387"/>
    <w:rsid w:val="00647680"/>
    <w:rsid w:val="006C173E"/>
    <w:rsid w:val="006D7C95"/>
    <w:rsid w:val="0074116D"/>
    <w:rsid w:val="007530F0"/>
    <w:rsid w:val="00762A52"/>
    <w:rsid w:val="00767F7C"/>
    <w:rsid w:val="007763B4"/>
    <w:rsid w:val="00784110"/>
    <w:rsid w:val="007C588D"/>
    <w:rsid w:val="007D5130"/>
    <w:rsid w:val="0080714D"/>
    <w:rsid w:val="008145DC"/>
    <w:rsid w:val="0087268E"/>
    <w:rsid w:val="00872F1E"/>
    <w:rsid w:val="00875F81"/>
    <w:rsid w:val="008775CB"/>
    <w:rsid w:val="00881EFF"/>
    <w:rsid w:val="00884C9F"/>
    <w:rsid w:val="008D2EBD"/>
    <w:rsid w:val="008E3CF9"/>
    <w:rsid w:val="008F184E"/>
    <w:rsid w:val="00903919"/>
    <w:rsid w:val="00906FB3"/>
    <w:rsid w:val="00935D37"/>
    <w:rsid w:val="009475D0"/>
    <w:rsid w:val="00966E43"/>
    <w:rsid w:val="009C50E4"/>
    <w:rsid w:val="009D62A1"/>
    <w:rsid w:val="00A01109"/>
    <w:rsid w:val="00A226B4"/>
    <w:rsid w:val="00A24453"/>
    <w:rsid w:val="00A4676E"/>
    <w:rsid w:val="00A85F90"/>
    <w:rsid w:val="00AC4860"/>
    <w:rsid w:val="00AC51B7"/>
    <w:rsid w:val="00AD4738"/>
    <w:rsid w:val="00AF5EC8"/>
    <w:rsid w:val="00B10642"/>
    <w:rsid w:val="00B212EC"/>
    <w:rsid w:val="00B23DFA"/>
    <w:rsid w:val="00B322ED"/>
    <w:rsid w:val="00B35CAD"/>
    <w:rsid w:val="00B459DD"/>
    <w:rsid w:val="00B556CF"/>
    <w:rsid w:val="00B61E24"/>
    <w:rsid w:val="00B741C5"/>
    <w:rsid w:val="00B8608C"/>
    <w:rsid w:val="00B94C7B"/>
    <w:rsid w:val="00BA0138"/>
    <w:rsid w:val="00BA4A60"/>
    <w:rsid w:val="00BB239C"/>
    <w:rsid w:val="00BD5A65"/>
    <w:rsid w:val="00C10686"/>
    <w:rsid w:val="00C1150C"/>
    <w:rsid w:val="00C457F3"/>
    <w:rsid w:val="00C52022"/>
    <w:rsid w:val="00C759F7"/>
    <w:rsid w:val="00CA49A6"/>
    <w:rsid w:val="00CA7C68"/>
    <w:rsid w:val="00CB6549"/>
    <w:rsid w:val="00D745C0"/>
    <w:rsid w:val="00DA2B8F"/>
    <w:rsid w:val="00DC12A1"/>
    <w:rsid w:val="00DD6331"/>
    <w:rsid w:val="00E01FEB"/>
    <w:rsid w:val="00E07EBE"/>
    <w:rsid w:val="00E219DE"/>
    <w:rsid w:val="00E21B58"/>
    <w:rsid w:val="00E420E0"/>
    <w:rsid w:val="00E6029C"/>
    <w:rsid w:val="00E61F6D"/>
    <w:rsid w:val="00E6260A"/>
    <w:rsid w:val="00E6780E"/>
    <w:rsid w:val="00E94A6E"/>
    <w:rsid w:val="00EA018B"/>
    <w:rsid w:val="00EC640E"/>
    <w:rsid w:val="00EE4843"/>
    <w:rsid w:val="00F15ACA"/>
    <w:rsid w:val="00F43F3F"/>
    <w:rsid w:val="00F5712C"/>
    <w:rsid w:val="00F63D2C"/>
    <w:rsid w:val="00F85CB7"/>
    <w:rsid w:val="00F95BA7"/>
    <w:rsid w:val="00FA4FCE"/>
    <w:rsid w:val="00FA52E6"/>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30</cp:revision>
  <dcterms:created xsi:type="dcterms:W3CDTF">2021-12-06T23:46:00Z</dcterms:created>
  <dcterms:modified xsi:type="dcterms:W3CDTF">2021-12-07T00:06:00Z</dcterms:modified>
</cp:coreProperties>
</file>