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51226EC6" w:rsidR="00C1150C" w:rsidRDefault="00BD1123" w:rsidP="004E1096">
      <w:pPr>
        <w:jc w:val="center"/>
      </w:pPr>
      <w:r>
        <w:t>UREA NITROGEN</w:t>
      </w:r>
      <w:r w:rsidR="004E1096">
        <w:t xml:space="preserve"> PROCEDURE FOR ALINITY</w:t>
      </w:r>
    </w:p>
    <w:p w14:paraId="4D397B84" w14:textId="7A6DE82D" w:rsidR="004E1096" w:rsidRDefault="004E1096" w:rsidP="004E1096">
      <w:r>
        <w:t>PRINCIPLE</w:t>
      </w:r>
    </w:p>
    <w:p w14:paraId="211570FC" w14:textId="5FEC93B7" w:rsidR="000C2609" w:rsidRDefault="00BD1123" w:rsidP="004E1096">
      <w:r>
        <w:t>Blood Urea Nitrogen (BUN)</w:t>
      </w:r>
      <w:r w:rsidR="00D017C5">
        <w:t xml:space="preserve"> measurements are used in the diagnosis of certain renal and metabolic diseases. </w:t>
      </w:r>
      <w:r w:rsidR="00E97EBA">
        <w:t>The determination of serum urea nitrogen is a widely used test for the evaluation of kidney function. Used in conjunction with the serum creatinine test</w:t>
      </w:r>
      <w:r w:rsidR="00BA7C26">
        <w:t>, the BUN can help differentiate prerenal</w:t>
      </w:r>
      <w:r w:rsidR="0054173B">
        <w:t>, renal and postrenal diseases,</w:t>
      </w:r>
    </w:p>
    <w:p w14:paraId="19E36EC6" w14:textId="1B14D6BF" w:rsidR="0054173B" w:rsidRDefault="0054173B" w:rsidP="004E1096">
      <w:r>
        <w:t>Prerenal Diseases: cardiac decompensation, water depletion, increased protein catabolism</w:t>
      </w:r>
    </w:p>
    <w:p w14:paraId="6A6363B5" w14:textId="52F60957" w:rsidR="0054173B" w:rsidRDefault="0054173B" w:rsidP="004E1096">
      <w:r>
        <w:t xml:space="preserve">Renal Diseases: </w:t>
      </w:r>
      <w:r w:rsidR="007868B2">
        <w:t>glomerulonephritis, chronic nephritis, polycystic kidney, nephrosclerosis tubular necrosis</w:t>
      </w:r>
    </w:p>
    <w:p w14:paraId="4B3181C4" w14:textId="70995CB8" w:rsidR="007868B2" w:rsidRDefault="007868B2" w:rsidP="004E1096">
      <w:r>
        <w:t>Postrenal Diseases: obstruction of the urinary tract</w:t>
      </w:r>
    </w:p>
    <w:p w14:paraId="1B576F6D" w14:textId="0E75CCD4" w:rsidR="002C2249" w:rsidRDefault="004E1096" w:rsidP="004E1096">
      <w:r>
        <w:t>Methodology:</w:t>
      </w:r>
      <w:r w:rsidR="002C2249">
        <w:t xml:space="preserve"> </w:t>
      </w:r>
      <w:r w:rsidR="00435660">
        <w:t>Urease</w:t>
      </w:r>
      <w:r>
        <w:t xml:space="preserve"> </w:t>
      </w:r>
    </w:p>
    <w:p w14:paraId="438A4D46" w14:textId="64A14EC3" w:rsidR="004E1096" w:rsidRDefault="004E1096" w:rsidP="004E1096">
      <w:r>
        <w:t>SCOPE</w:t>
      </w:r>
    </w:p>
    <w:p w14:paraId="1DBF2A8F" w14:textId="7433499A" w:rsidR="004E1096" w:rsidRDefault="004E1096" w:rsidP="004E1096">
      <w:r>
        <w:t xml:space="preserve">The </w:t>
      </w:r>
      <w:r w:rsidR="00435660">
        <w:t>Urea Nitrogen</w:t>
      </w:r>
      <w:r>
        <w:t xml:space="preserve"> assay is used for the quantitation of</w:t>
      </w:r>
      <w:r w:rsidR="00601BF2">
        <w:t xml:space="preserve"> </w:t>
      </w:r>
      <w:r w:rsidR="00435660">
        <w:t xml:space="preserve">urea nitrogen </w:t>
      </w:r>
      <w:r w:rsidR="00601BF2">
        <w:t>in human serum or plasma</w:t>
      </w:r>
      <w:r>
        <w:t xml:space="preserve"> on the Alinity C analyzer performed in the Texas Health Allen laboratory.</w:t>
      </w:r>
      <w:r w:rsidR="00881EFF">
        <w:t xml:space="preserve"> </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65E52531" w:rsidR="00767F7C" w:rsidRDefault="00B212EC" w:rsidP="004E1096">
      <w:pPr>
        <w:spacing w:after="0"/>
      </w:pPr>
      <w:r>
        <w:t>Serum</w:t>
      </w:r>
      <w:r w:rsidR="00767F7C">
        <w:t xml:space="preserve"> and </w:t>
      </w:r>
      <w:r>
        <w:t>plasma</w:t>
      </w:r>
      <w:r w:rsidR="00767F7C">
        <w:t xml:space="preserve"> are acceptable specimens. </w:t>
      </w:r>
      <w:r w:rsidR="00906FB3">
        <w:t>Patient status is preferably fasting.</w:t>
      </w:r>
    </w:p>
    <w:p w14:paraId="6B024595" w14:textId="5134506D" w:rsidR="00767F7C" w:rsidRDefault="00767F7C" w:rsidP="004E1096">
      <w:pPr>
        <w:spacing w:after="0"/>
      </w:pPr>
    </w:p>
    <w:p w14:paraId="5EFE43A2" w14:textId="15C33D6E" w:rsidR="00767F7C" w:rsidRDefault="00B212EC" w:rsidP="004E1096">
      <w:pPr>
        <w:spacing w:after="0"/>
      </w:pPr>
      <w:r>
        <w:t>Serum</w:t>
      </w:r>
      <w:r w:rsidR="00767F7C">
        <w:t xml:space="preserve">: </w:t>
      </w:r>
      <w:r w:rsidR="00481C30">
        <w:t xml:space="preserve">Use serum with or without gel barrier. Ensure complete clot formation has taken place prior to centrifugation. </w:t>
      </w:r>
      <w:r w:rsidR="004258F3">
        <w:t>If the specimen is centrifuged before a complete clot forms, the presence of fibrin</w:t>
      </w:r>
      <w:r w:rsidR="00E6260A">
        <w:t xml:space="preserve"> may cause erroneous results. Separate from RBCs as soon after collections as possible.</w:t>
      </w:r>
    </w:p>
    <w:p w14:paraId="5E349465" w14:textId="222DDA02" w:rsidR="00767F7C" w:rsidRDefault="00767F7C" w:rsidP="004E1096">
      <w:pPr>
        <w:spacing w:after="0"/>
      </w:pPr>
    </w:p>
    <w:p w14:paraId="60F0FF7C" w14:textId="68C63A78" w:rsidR="00906FB3" w:rsidRDefault="00E6260A" w:rsidP="004E1096">
      <w:pPr>
        <w:spacing w:after="0"/>
      </w:pPr>
      <w:r>
        <w:t>Plasma: Use plasma with or without gel barrier including green microtainer tubes (acceptable anticoagulant: lithium heparin). Separate from RBCs as soon as possible after collection.</w:t>
      </w:r>
    </w:p>
    <w:p w14:paraId="257F9BC2" w14:textId="77777777" w:rsidR="00C10686" w:rsidRDefault="00C10686" w:rsidP="004E1096">
      <w:pPr>
        <w:spacing w:after="0"/>
      </w:pPr>
    </w:p>
    <w:p w14:paraId="79161C7B" w14:textId="0FEF7975" w:rsidR="00C10686" w:rsidRDefault="00767F7C" w:rsidP="004E1096">
      <w:pPr>
        <w:spacing w:after="0"/>
      </w:pPr>
      <w:r>
        <w:t>SPECIMEN STABILITY</w:t>
      </w:r>
      <w:r w:rsidR="00C10686">
        <w:t>:</w:t>
      </w:r>
    </w:p>
    <w:p w14:paraId="27A0FBFE" w14:textId="646761EB" w:rsidR="00767F7C" w:rsidRDefault="00767F7C" w:rsidP="00C10686">
      <w:pPr>
        <w:spacing w:after="0"/>
        <w:ind w:firstLine="720"/>
      </w:pPr>
      <w:r>
        <w:t>20-25C is good for</w:t>
      </w:r>
      <w:r w:rsidR="0011474D">
        <w:t xml:space="preserve"> </w:t>
      </w:r>
      <w:r w:rsidR="008C03BF">
        <w:t>7</w:t>
      </w:r>
      <w:r w:rsidR="0011474D">
        <w:t xml:space="preserve"> </w:t>
      </w:r>
      <w:r w:rsidR="00640387">
        <w:t>days</w:t>
      </w:r>
    </w:p>
    <w:p w14:paraId="1714BC9E" w14:textId="04E6B668" w:rsidR="00767F7C" w:rsidRDefault="00767F7C" w:rsidP="00C10686">
      <w:pPr>
        <w:spacing w:after="0"/>
        <w:ind w:firstLine="720"/>
      </w:pPr>
      <w:r>
        <w:t xml:space="preserve">2-8C is good for </w:t>
      </w:r>
      <w:r w:rsidR="00C10686">
        <w:t>7 days</w:t>
      </w:r>
      <w:r>
        <w:t xml:space="preserve"> </w:t>
      </w:r>
    </w:p>
    <w:p w14:paraId="6960429E" w14:textId="570FB934" w:rsidR="00767F7C" w:rsidRDefault="00767F7C" w:rsidP="00640387">
      <w:pPr>
        <w:spacing w:after="0"/>
        <w:ind w:firstLine="720"/>
      </w:pPr>
      <w:r>
        <w:t xml:space="preserve">-20C is good for </w:t>
      </w:r>
      <w:r w:rsidR="00C10686">
        <w:t>1</w:t>
      </w:r>
      <w:r w:rsidR="0011474D">
        <w:t xml:space="preserve"> </w:t>
      </w:r>
      <w:r w:rsidR="00640387">
        <w:t>year</w:t>
      </w:r>
    </w:p>
    <w:p w14:paraId="1F43D4DE" w14:textId="77777777" w:rsidR="007D5130" w:rsidRDefault="007D5130"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lastRenderedPageBreak/>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367D8333" w:rsidR="0056071E" w:rsidRDefault="0056071E" w:rsidP="0056071E">
      <w:pPr>
        <w:pStyle w:val="ListParagraph"/>
        <w:numPr>
          <w:ilvl w:val="0"/>
          <w:numId w:val="2"/>
        </w:numPr>
        <w:spacing w:after="0"/>
      </w:pPr>
      <w:r>
        <w:t xml:space="preserve">Unopened reagent is stable until the expiration date when stored at </w:t>
      </w:r>
      <w:r w:rsidR="005D5770">
        <w:t>2-8</w:t>
      </w:r>
      <w:r w:rsidR="00B61E24">
        <w:t>C</w:t>
      </w:r>
      <w:r>
        <w:t>.</w:t>
      </w:r>
    </w:p>
    <w:p w14:paraId="07DB6617" w14:textId="2B24AD17" w:rsidR="0056071E" w:rsidRDefault="0056071E" w:rsidP="0056071E">
      <w:pPr>
        <w:pStyle w:val="ListParagraph"/>
        <w:numPr>
          <w:ilvl w:val="0"/>
          <w:numId w:val="2"/>
        </w:numPr>
        <w:spacing w:after="0"/>
      </w:pPr>
      <w:r>
        <w:t xml:space="preserve">Uncapped On-board reagent is stable for </w:t>
      </w:r>
      <w:r w:rsidR="008145DC">
        <w:t>2</w:t>
      </w:r>
      <w:r w:rsidR="005D5770">
        <w:t>5</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6BCBD119" w:rsidR="0056071E" w:rsidRDefault="0056071E" w:rsidP="0056071E">
      <w:pPr>
        <w:pStyle w:val="ListParagraph"/>
        <w:numPr>
          <w:ilvl w:val="0"/>
          <w:numId w:val="3"/>
        </w:numPr>
        <w:spacing w:after="0"/>
      </w:pPr>
      <w:r>
        <w:t xml:space="preserve">Unopened </w:t>
      </w:r>
      <w:r w:rsidR="00035C3D">
        <w:t>–</w:t>
      </w:r>
      <w:r>
        <w:t xml:space="preserve"> </w:t>
      </w:r>
      <w:r w:rsidR="00035C3D">
        <w:t xml:space="preserve">until expiration date on bottle when stored at </w:t>
      </w:r>
      <w:r w:rsidR="00227D92">
        <w:t>2-8</w:t>
      </w:r>
      <w:r w:rsidR="00035C3D">
        <w:t>C</w:t>
      </w:r>
    </w:p>
    <w:p w14:paraId="615BCA10" w14:textId="783D9E72" w:rsidR="00035C3D" w:rsidRDefault="00035C3D" w:rsidP="0056071E">
      <w:pPr>
        <w:pStyle w:val="ListParagraph"/>
        <w:numPr>
          <w:ilvl w:val="0"/>
          <w:numId w:val="3"/>
        </w:numPr>
        <w:spacing w:after="0"/>
      </w:pPr>
      <w:r>
        <w:t xml:space="preserve">Opened – </w:t>
      </w:r>
      <w:r w:rsidR="00A85F90">
        <w:t>7</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60082856" w:rsidR="00035C3D" w:rsidRDefault="00035C3D" w:rsidP="00035C3D">
      <w:pPr>
        <w:spacing w:after="0"/>
      </w:pPr>
      <w:r>
        <w:t xml:space="preserve">Calibration is stable for approximately </w:t>
      </w:r>
      <w:r w:rsidR="00514488">
        <w:t>7</w:t>
      </w:r>
      <w:r>
        <w:t xml:space="preserve"> days (</w:t>
      </w:r>
      <w:r w:rsidR="00514488">
        <w:t>16</w:t>
      </w:r>
      <w:r w:rsidR="00F63D2C">
        <w:t>8</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55CABA65" w:rsidR="007C588D" w:rsidRDefault="007C588D" w:rsidP="00035C3D">
      <w:pPr>
        <w:spacing w:after="0"/>
      </w:pPr>
      <w:r>
        <w:t xml:space="preserve">For information on calibrator values, refer to the </w:t>
      </w:r>
      <w:r w:rsidR="00CB6549">
        <w:t>Multiconstiituent</w:t>
      </w:r>
      <w:r>
        <w:t xml:space="preserve"> Calibrator</w:t>
      </w:r>
      <w:r w:rsidR="00CB6549">
        <w:t xml:space="preserve"> (MCC)</w:t>
      </w:r>
      <w:r>
        <w:t xml:space="preserve"> package insert.</w:t>
      </w:r>
      <w:r w:rsidR="003C1519">
        <w:t xml:space="preserve">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lastRenderedPageBreak/>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4FFEE957" w:rsidR="00BB239C" w:rsidRDefault="003E33D8" w:rsidP="004701A7">
      <w:pPr>
        <w:spacing w:after="0"/>
      </w:pPr>
      <w:r>
        <w:t>Material</w:t>
      </w:r>
      <w:r w:rsidR="00FA4FCE">
        <w:t>: Serum</w:t>
      </w:r>
      <w:r w:rsidR="00BB239C">
        <w:t xml:space="preserve">: BioRad </w:t>
      </w:r>
      <w:r w:rsidR="00E420E0">
        <w:t>Unassayed chemistry</w:t>
      </w:r>
      <w:r w:rsidR="00BB239C">
        <w:t xml:space="preserve"> control levels 1 and 2. </w:t>
      </w:r>
    </w:p>
    <w:p w14:paraId="3891C347" w14:textId="77777777" w:rsidR="00176152" w:rsidRDefault="00176152" w:rsidP="004701A7">
      <w:pPr>
        <w:spacing w:after="0"/>
      </w:pPr>
    </w:p>
    <w:p w14:paraId="48E9F94C" w14:textId="1DD34B4C" w:rsidR="0048022F" w:rsidRDefault="00060C9A" w:rsidP="004701A7">
      <w:pPr>
        <w:spacing w:after="0"/>
      </w:pPr>
      <w:r>
        <w:t xml:space="preserve">Storage and Stability: </w:t>
      </w:r>
      <w:r w:rsidR="00E420E0">
        <w:t>serum:</w:t>
      </w:r>
      <w:r w:rsidR="000432D3">
        <w:t xml:space="preserve"> </w:t>
      </w:r>
      <w:r>
        <w:t xml:space="preserve">stable until expiration date printed on the bottle when stored unopened at </w:t>
      </w:r>
      <w:r w:rsidR="000471B2">
        <w:t>-20</w:t>
      </w:r>
      <w:r w:rsidR="00B459DD">
        <w:t>C</w:t>
      </w:r>
      <w:r w:rsidR="00B94C7B">
        <w:t xml:space="preserve">. Once thawed, the control is stable for </w:t>
      </w:r>
      <w:r w:rsidR="000471B2">
        <w:t>15</w:t>
      </w:r>
      <w:r w:rsidR="00B94C7B">
        <w:t xml:space="preserve"> days</w:t>
      </w:r>
      <w:r w:rsidR="00FE4C0A">
        <w:t xml:space="preserve"> at 2-8C</w:t>
      </w:r>
      <w:r w:rsidR="000471B2">
        <w:t>, except bilirubin which is stable for 6 days</w:t>
      </w:r>
      <w:r w:rsidR="008D2EBD">
        <w:t>.</w:t>
      </w:r>
      <w:r w:rsidR="00510BCD">
        <w:t xml:space="preserve"> Thaw control bottle at room temperature until completely thawed. Swirl gently to ensure homogeneity.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715DBF5B" w14:textId="669F3A1C" w:rsidR="00B556CF" w:rsidRDefault="009E02E3" w:rsidP="000D7657">
      <w:pPr>
        <w:pStyle w:val="ListParagraph"/>
        <w:numPr>
          <w:ilvl w:val="0"/>
          <w:numId w:val="6"/>
        </w:numPr>
        <w:spacing w:after="0"/>
      </w:pPr>
      <w:r>
        <w:rPr>
          <w:rFonts w:cstheme="minorHAnsi"/>
        </w:rPr>
        <w:t>No significant interference from hemolysis, icterus, or lipemia are listed for serum and plasma.</w:t>
      </w:r>
    </w:p>
    <w:p w14:paraId="407A73B9" w14:textId="1CF0EC4F"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477AA8D5" w14:textId="2EE22EF4" w:rsidR="003539E8" w:rsidRDefault="003539E8" w:rsidP="000D7657">
      <w:pPr>
        <w:spacing w:after="0"/>
      </w:pPr>
      <w:r>
        <w:t xml:space="preserve">ABBOTT </w:t>
      </w:r>
      <w:r w:rsidR="009E02E3">
        <w:t>Urea Nitrogen</w:t>
      </w:r>
      <w:r>
        <w:t xml:space="preserve"> package insert</w:t>
      </w:r>
    </w:p>
    <w:p w14:paraId="6CBD1E7C" w14:textId="77777777" w:rsidR="009E02E3" w:rsidRDefault="009E02E3" w:rsidP="000D7657">
      <w:pPr>
        <w:spacing w:after="0"/>
      </w:pPr>
    </w:p>
    <w:p w14:paraId="0769F6C3" w14:textId="590BEB29" w:rsidR="009E02E3" w:rsidRDefault="009E02E3" w:rsidP="000D7657">
      <w:pPr>
        <w:spacing w:after="0"/>
      </w:pPr>
      <w:r>
        <w:t>ABBOTT Multiconstituent Calibrator package insert</w:t>
      </w:r>
    </w:p>
    <w:p w14:paraId="67A3886C" w14:textId="77777777" w:rsidR="000D7657" w:rsidRDefault="000D7657" w:rsidP="000D7657">
      <w:pPr>
        <w:spacing w:after="0"/>
      </w:pP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432D3"/>
    <w:rsid w:val="000471B2"/>
    <w:rsid w:val="00060C9A"/>
    <w:rsid w:val="000C2609"/>
    <w:rsid w:val="000D7657"/>
    <w:rsid w:val="000E7255"/>
    <w:rsid w:val="000F6BFA"/>
    <w:rsid w:val="0011474D"/>
    <w:rsid w:val="00134D51"/>
    <w:rsid w:val="0016064F"/>
    <w:rsid w:val="00176152"/>
    <w:rsid w:val="001F65EE"/>
    <w:rsid w:val="00206EC0"/>
    <w:rsid w:val="0021504E"/>
    <w:rsid w:val="00227D92"/>
    <w:rsid w:val="00284265"/>
    <w:rsid w:val="002A119C"/>
    <w:rsid w:val="002B3A84"/>
    <w:rsid w:val="002C2249"/>
    <w:rsid w:val="002C25CA"/>
    <w:rsid w:val="002D12C4"/>
    <w:rsid w:val="00311617"/>
    <w:rsid w:val="00343C7D"/>
    <w:rsid w:val="003539E8"/>
    <w:rsid w:val="003C1519"/>
    <w:rsid w:val="003D17DB"/>
    <w:rsid w:val="003E33D8"/>
    <w:rsid w:val="003F5A00"/>
    <w:rsid w:val="0042052D"/>
    <w:rsid w:val="004249DA"/>
    <w:rsid w:val="004258F3"/>
    <w:rsid w:val="00433E7F"/>
    <w:rsid w:val="00435660"/>
    <w:rsid w:val="004436C4"/>
    <w:rsid w:val="004701A7"/>
    <w:rsid w:val="0048022F"/>
    <w:rsid w:val="00481691"/>
    <w:rsid w:val="00481C30"/>
    <w:rsid w:val="00486D84"/>
    <w:rsid w:val="004A246C"/>
    <w:rsid w:val="004A6B2C"/>
    <w:rsid w:val="004E1096"/>
    <w:rsid w:val="004E4CAB"/>
    <w:rsid w:val="004F17A2"/>
    <w:rsid w:val="00510BCD"/>
    <w:rsid w:val="00514488"/>
    <w:rsid w:val="005176C7"/>
    <w:rsid w:val="00517A32"/>
    <w:rsid w:val="0054173B"/>
    <w:rsid w:val="0056071E"/>
    <w:rsid w:val="005C396D"/>
    <w:rsid w:val="005C5C7C"/>
    <w:rsid w:val="005D5770"/>
    <w:rsid w:val="00601BF2"/>
    <w:rsid w:val="00623965"/>
    <w:rsid w:val="0063565A"/>
    <w:rsid w:val="00640387"/>
    <w:rsid w:val="00647680"/>
    <w:rsid w:val="006C173E"/>
    <w:rsid w:val="006D7C95"/>
    <w:rsid w:val="0074116D"/>
    <w:rsid w:val="007530F0"/>
    <w:rsid w:val="00762A52"/>
    <w:rsid w:val="00767F7C"/>
    <w:rsid w:val="007763B4"/>
    <w:rsid w:val="00784110"/>
    <w:rsid w:val="007868B2"/>
    <w:rsid w:val="007C588D"/>
    <w:rsid w:val="007D5130"/>
    <w:rsid w:val="0080714D"/>
    <w:rsid w:val="008145DC"/>
    <w:rsid w:val="0087268E"/>
    <w:rsid w:val="00872F1E"/>
    <w:rsid w:val="00875F81"/>
    <w:rsid w:val="008775CB"/>
    <w:rsid w:val="00881EFF"/>
    <w:rsid w:val="00884C9F"/>
    <w:rsid w:val="008C03BF"/>
    <w:rsid w:val="008D2EBD"/>
    <w:rsid w:val="008E3CF9"/>
    <w:rsid w:val="008F184E"/>
    <w:rsid w:val="00903919"/>
    <w:rsid w:val="00906FB3"/>
    <w:rsid w:val="00935D37"/>
    <w:rsid w:val="009475D0"/>
    <w:rsid w:val="00966E43"/>
    <w:rsid w:val="009C50E4"/>
    <w:rsid w:val="009D62A1"/>
    <w:rsid w:val="009E02E3"/>
    <w:rsid w:val="00A01109"/>
    <w:rsid w:val="00A226B4"/>
    <w:rsid w:val="00A24453"/>
    <w:rsid w:val="00A4676E"/>
    <w:rsid w:val="00A85F90"/>
    <w:rsid w:val="00AC4860"/>
    <w:rsid w:val="00AC51B7"/>
    <w:rsid w:val="00AD4738"/>
    <w:rsid w:val="00AF5EC8"/>
    <w:rsid w:val="00B10642"/>
    <w:rsid w:val="00B212EC"/>
    <w:rsid w:val="00B23DFA"/>
    <w:rsid w:val="00B322ED"/>
    <w:rsid w:val="00B35CAD"/>
    <w:rsid w:val="00B459DD"/>
    <w:rsid w:val="00B556CF"/>
    <w:rsid w:val="00B61E24"/>
    <w:rsid w:val="00B741C5"/>
    <w:rsid w:val="00B8608C"/>
    <w:rsid w:val="00B94C7B"/>
    <w:rsid w:val="00BA0138"/>
    <w:rsid w:val="00BA4A60"/>
    <w:rsid w:val="00BA7C26"/>
    <w:rsid w:val="00BB239C"/>
    <w:rsid w:val="00BD1123"/>
    <w:rsid w:val="00BD5A65"/>
    <w:rsid w:val="00C10686"/>
    <w:rsid w:val="00C1150C"/>
    <w:rsid w:val="00C457F3"/>
    <w:rsid w:val="00C52022"/>
    <w:rsid w:val="00C759F7"/>
    <w:rsid w:val="00CA49A6"/>
    <w:rsid w:val="00CA7C68"/>
    <w:rsid w:val="00CB6549"/>
    <w:rsid w:val="00D017C5"/>
    <w:rsid w:val="00D745C0"/>
    <w:rsid w:val="00DA2B8F"/>
    <w:rsid w:val="00DC12A1"/>
    <w:rsid w:val="00DD6331"/>
    <w:rsid w:val="00E01FEB"/>
    <w:rsid w:val="00E07EBE"/>
    <w:rsid w:val="00E219DE"/>
    <w:rsid w:val="00E21B58"/>
    <w:rsid w:val="00E420E0"/>
    <w:rsid w:val="00E6029C"/>
    <w:rsid w:val="00E61F6D"/>
    <w:rsid w:val="00E6260A"/>
    <w:rsid w:val="00E6780E"/>
    <w:rsid w:val="00E94A6E"/>
    <w:rsid w:val="00E97EBA"/>
    <w:rsid w:val="00EA018B"/>
    <w:rsid w:val="00EC640E"/>
    <w:rsid w:val="00EE4843"/>
    <w:rsid w:val="00F15ACA"/>
    <w:rsid w:val="00F43F3F"/>
    <w:rsid w:val="00F5712C"/>
    <w:rsid w:val="00F63D2C"/>
    <w:rsid w:val="00F85CB7"/>
    <w:rsid w:val="00F95BA7"/>
    <w:rsid w:val="00FA4FCE"/>
    <w:rsid w:val="00FA52E6"/>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13</cp:revision>
  <dcterms:created xsi:type="dcterms:W3CDTF">2021-12-07T00:06:00Z</dcterms:created>
  <dcterms:modified xsi:type="dcterms:W3CDTF">2021-12-07T00:14:00Z</dcterms:modified>
</cp:coreProperties>
</file>