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845D5" w14:textId="60BABC81" w:rsidR="001473B4" w:rsidRDefault="008F7252" w:rsidP="008F7252">
      <w:pPr>
        <w:jc w:val="center"/>
      </w:pPr>
      <w:proofErr w:type="spellStart"/>
      <w:r>
        <w:t>iPTH</w:t>
      </w:r>
      <w:proofErr w:type="spellEnd"/>
      <w:r>
        <w:t xml:space="preserve"> PROCEDURE FOR ALINITY </w:t>
      </w:r>
      <w:proofErr w:type="spellStart"/>
      <w:r>
        <w:t>i</w:t>
      </w:r>
      <w:proofErr w:type="spellEnd"/>
    </w:p>
    <w:p w14:paraId="76DE8E8E" w14:textId="530FE641" w:rsidR="008F7252" w:rsidRDefault="008F7252" w:rsidP="008F7252">
      <w:pPr>
        <w:jc w:val="center"/>
      </w:pPr>
    </w:p>
    <w:p w14:paraId="24013171" w14:textId="561A498A" w:rsidR="008F7252" w:rsidRDefault="008F7252" w:rsidP="008F7252">
      <w:r>
        <w:t>PRINCIPLE/PURPOSE/INTRODUCTION</w:t>
      </w:r>
    </w:p>
    <w:p w14:paraId="49841451" w14:textId="4ABB6DB8" w:rsidR="008F7252" w:rsidRDefault="008F7252" w:rsidP="008F7252">
      <w:r>
        <w:t xml:space="preserve">Parathyroid hormone (PTH) is produced by the parathyroid gland. The primary role of PTH is to regulate the blood calcium level. </w:t>
      </w:r>
      <w:r w:rsidR="007E6DB1">
        <w:t>The biological activity of PTH is to increase absorption of dietary calcium, decrease renal clearance and mobilize skeletal calcium stores. Abnormally high ionized Ca concentrations suppress secretion of PTH.</w:t>
      </w:r>
    </w:p>
    <w:p w14:paraId="4C422289" w14:textId="65814AE6" w:rsidR="007E6DB1" w:rsidRDefault="007E6DB1" w:rsidP="008F7252">
      <w:r>
        <w:t xml:space="preserve">In conjunction with serum calcium levels, the Alinity </w:t>
      </w:r>
      <w:proofErr w:type="spellStart"/>
      <w:r>
        <w:t>i</w:t>
      </w:r>
      <w:proofErr w:type="spellEnd"/>
      <w:r>
        <w:t xml:space="preserve"> Intact PTH assay may be used as an aid in the differential diagnosis of hypercalcemia, hypocalcemia, and parathyroid disorders. PTH determination is important in monitoring dialysis patients to manage renal osteodystrophy.</w:t>
      </w:r>
    </w:p>
    <w:p w14:paraId="2C233EA2" w14:textId="62A6B447" w:rsidR="007E6DB1" w:rsidRDefault="007E6DB1" w:rsidP="008F7252">
      <w:r>
        <w:t>SCOPE</w:t>
      </w:r>
    </w:p>
    <w:p w14:paraId="305EE228" w14:textId="6C1A26C9" w:rsidR="007E6DB1" w:rsidRDefault="007E6DB1" w:rsidP="008F7252">
      <w:r>
        <w:t xml:space="preserve">The Alinity </w:t>
      </w:r>
      <w:proofErr w:type="spellStart"/>
      <w:r>
        <w:t>i</w:t>
      </w:r>
      <w:proofErr w:type="spellEnd"/>
      <w:r>
        <w:t xml:space="preserve"> intact PTH (</w:t>
      </w:r>
      <w:proofErr w:type="spellStart"/>
      <w:r>
        <w:t>iPTH</w:t>
      </w:r>
      <w:proofErr w:type="spellEnd"/>
      <w:r>
        <w:t xml:space="preserve">) </w:t>
      </w:r>
      <w:r w:rsidR="002C2D40">
        <w:t xml:space="preserve">assay is performed on serum and plasma on the Alinity </w:t>
      </w:r>
      <w:proofErr w:type="spellStart"/>
      <w:r w:rsidR="002C2D40">
        <w:t>i</w:t>
      </w:r>
      <w:proofErr w:type="spellEnd"/>
      <w:r w:rsidR="002C2D40">
        <w:t xml:space="preserve"> analyzer in the Texas Health Allen laboratory.</w:t>
      </w:r>
    </w:p>
    <w:p w14:paraId="424EEA26" w14:textId="53C5088B" w:rsidR="002C2D40" w:rsidRDefault="002C2D40" w:rsidP="008F7252">
      <w:r>
        <w:t>SAFETY</w:t>
      </w:r>
    </w:p>
    <w:p w14:paraId="48E59968" w14:textId="05CCD6B5" w:rsidR="002C2D40" w:rsidRDefault="002C2D40" w:rsidP="002C2D40">
      <w:pPr>
        <w:spacing w:after="0"/>
      </w:pPr>
      <w:r>
        <w:t>Bloodborne Pathogen Risk – High</w:t>
      </w:r>
    </w:p>
    <w:p w14:paraId="5D1C9018" w14:textId="4CF8B7AB" w:rsidR="002C2D40" w:rsidRDefault="002C2D40" w:rsidP="002C2D40">
      <w:pPr>
        <w:spacing w:after="0"/>
      </w:pPr>
      <w:r>
        <w:t>Chemical Risk – Low</w:t>
      </w:r>
    </w:p>
    <w:p w14:paraId="379A165F" w14:textId="1ADC1C17" w:rsidR="002C2D40" w:rsidRDefault="002C2D40" w:rsidP="002C2D40">
      <w:pPr>
        <w:spacing w:after="0"/>
      </w:pPr>
      <w:r>
        <w:t>PPE Required – lab coats, gloves, face protection (goggles, face shield, counter-mounted shield…)</w:t>
      </w:r>
    </w:p>
    <w:p w14:paraId="092E66D1" w14:textId="542B05D7" w:rsidR="002C2D40" w:rsidRDefault="002C2D40" w:rsidP="002C2D40">
      <w:pPr>
        <w:spacing w:after="0"/>
      </w:pPr>
    </w:p>
    <w:p w14:paraId="77481A37" w14:textId="6FB377C0" w:rsidR="002C2D40" w:rsidRDefault="002C2D40" w:rsidP="002C2D40">
      <w:pPr>
        <w:spacing w:after="0"/>
      </w:pPr>
      <w:r w:rsidRPr="002C2D40">
        <w:rPr>
          <w:highlight w:val="yellow"/>
        </w:rPr>
        <w:t>SPECIMEN REQUIREMENTS</w:t>
      </w:r>
    </w:p>
    <w:p w14:paraId="7E9B2ABD" w14:textId="21C3837B" w:rsidR="002C2D40" w:rsidRDefault="002C2D40" w:rsidP="002C2D40">
      <w:pPr>
        <w:spacing w:after="0"/>
      </w:pPr>
    </w:p>
    <w:p w14:paraId="6497D209" w14:textId="702B01CF" w:rsidR="002C2D40" w:rsidRDefault="008E75E8" w:rsidP="002C2D40">
      <w:pPr>
        <w:spacing w:after="0"/>
      </w:pPr>
      <w:r>
        <w:t xml:space="preserve">Samples should be centrifuged as soon as possible after the serum specimen clots, or as soon as possible if the sample is plasma. Specimens should be free of bubbles. Remove bubbles with an applicator stick prior to analysis. If fibrin, red blood cells, or other particulate matter are observed, mix by inverting 10 times and </w:t>
      </w:r>
      <w:proofErr w:type="spellStart"/>
      <w:r>
        <w:t>recentrifuge</w:t>
      </w:r>
      <w:proofErr w:type="spellEnd"/>
      <w:r>
        <w:t xml:space="preserve"> the sample.</w:t>
      </w:r>
    </w:p>
    <w:p w14:paraId="3CF14914" w14:textId="0F8D46E1" w:rsidR="008E75E8" w:rsidRDefault="008E75E8" w:rsidP="002C2D40">
      <w:pPr>
        <w:spacing w:after="0"/>
      </w:pPr>
    </w:p>
    <w:p w14:paraId="39E4EB92" w14:textId="74211CE9" w:rsidR="008E75E8" w:rsidRDefault="008E75E8" w:rsidP="002C2D40">
      <w:pPr>
        <w:spacing w:after="0"/>
      </w:pPr>
      <w:r>
        <w:t xml:space="preserve">Sample stability: </w:t>
      </w:r>
    </w:p>
    <w:p w14:paraId="355F1EB7" w14:textId="22D05807" w:rsidR="008E75E8" w:rsidRDefault="008E75E8" w:rsidP="002C2D40">
      <w:pPr>
        <w:spacing w:after="0"/>
      </w:pPr>
      <w:r>
        <w:t>2-8C stabile for 2 days</w:t>
      </w:r>
    </w:p>
    <w:p w14:paraId="2DCDBE77" w14:textId="5305F7E3" w:rsidR="008E75E8" w:rsidRDefault="008E75E8" w:rsidP="002C2D40">
      <w:pPr>
        <w:spacing w:after="0"/>
      </w:pPr>
      <w:r>
        <w:t>-20C stable for 6 months</w:t>
      </w:r>
    </w:p>
    <w:p w14:paraId="2703921D" w14:textId="4F09236C" w:rsidR="00C00A2E" w:rsidRDefault="00C00A2E" w:rsidP="002C2D40">
      <w:pPr>
        <w:spacing w:after="0"/>
      </w:pPr>
    </w:p>
    <w:p w14:paraId="2CA0CB9D" w14:textId="23A2FA60" w:rsidR="00C00A2E" w:rsidRDefault="00C00A2E" w:rsidP="002C2D40">
      <w:pPr>
        <w:spacing w:after="0"/>
      </w:pPr>
      <w:r>
        <w:t xml:space="preserve">REAGENT HANDLING for </w:t>
      </w:r>
      <w:proofErr w:type="spellStart"/>
      <w:r>
        <w:t>iPTH</w:t>
      </w:r>
      <w:proofErr w:type="spellEnd"/>
      <w:r>
        <w:t xml:space="preserve"> REAGENT KITS</w:t>
      </w:r>
    </w:p>
    <w:p w14:paraId="3E6BEDAC" w14:textId="4D89AD2F" w:rsidR="00C00A2E" w:rsidRDefault="00C00A2E" w:rsidP="002C2D40">
      <w:pPr>
        <w:spacing w:after="0"/>
      </w:pPr>
    </w:p>
    <w:p w14:paraId="35C5CBC7" w14:textId="3F623FDB" w:rsidR="00C00A2E" w:rsidRDefault="00C00A2E" w:rsidP="00C00A2E">
      <w:pPr>
        <w:pStyle w:val="ListParagraph"/>
        <w:numPr>
          <w:ilvl w:val="0"/>
          <w:numId w:val="1"/>
        </w:numPr>
        <w:spacing w:after="0"/>
      </w:pPr>
      <w:r>
        <w:t xml:space="preserve">Do not use reagent kits beyond the expiration date. The Alinity tracks the expiration dates of all onboard reagents and solutions and will flag the operator with information about expired </w:t>
      </w:r>
      <w:proofErr w:type="gramStart"/>
      <w:r>
        <w:t>reagents, and</w:t>
      </w:r>
      <w:proofErr w:type="gramEnd"/>
      <w:r>
        <w:t xml:space="preserve"> will not perform testing beyond the reagents on board expiration date.</w:t>
      </w:r>
    </w:p>
    <w:p w14:paraId="37388448" w14:textId="0973B0AC" w:rsidR="00C00A2E" w:rsidRDefault="00C00A2E" w:rsidP="00C00A2E">
      <w:pPr>
        <w:pStyle w:val="ListParagraph"/>
        <w:numPr>
          <w:ilvl w:val="0"/>
          <w:numId w:val="1"/>
        </w:numPr>
        <w:spacing w:after="0"/>
      </w:pPr>
      <w:r>
        <w:t>Do not mix reagents from different reagent kits.</w:t>
      </w:r>
    </w:p>
    <w:p w14:paraId="364D5D99" w14:textId="4CDD1886" w:rsidR="00C00A2E" w:rsidRDefault="00C00A2E" w:rsidP="00C00A2E">
      <w:pPr>
        <w:pStyle w:val="ListParagraph"/>
        <w:numPr>
          <w:ilvl w:val="0"/>
          <w:numId w:val="1"/>
        </w:numPr>
        <w:spacing w:after="0"/>
      </w:pPr>
      <w:r>
        <w:t xml:space="preserve">Upon receipt, gently invert the unopened reagent kit by rotating it over and back and forth for a full 180 degrees, 5 times with the green label stripe facing up and then 5 times with the green label stripe facing down to ensure the liquid covers all sides of the bottles within the cartridge. </w:t>
      </w:r>
    </w:p>
    <w:p w14:paraId="59029F79" w14:textId="1CABDF4A" w:rsidR="00C00A2E" w:rsidRDefault="00C00A2E" w:rsidP="00C00A2E">
      <w:pPr>
        <w:pStyle w:val="ListParagraph"/>
        <w:numPr>
          <w:ilvl w:val="0"/>
          <w:numId w:val="1"/>
        </w:numPr>
        <w:spacing w:after="0"/>
      </w:pPr>
      <w:r>
        <w:t>Place a check in the square on the reagent kits to indicate to others that the inversions have been completed.</w:t>
      </w:r>
    </w:p>
    <w:p w14:paraId="08A1ED48" w14:textId="588BC5C1" w:rsidR="00C00A2E" w:rsidRDefault="00964732" w:rsidP="00C00A2E">
      <w:pPr>
        <w:pStyle w:val="ListParagraph"/>
        <w:numPr>
          <w:ilvl w:val="0"/>
          <w:numId w:val="1"/>
        </w:numPr>
        <w:spacing w:after="0"/>
      </w:pPr>
      <w:r>
        <w:lastRenderedPageBreak/>
        <w:t>If a reagent cartridge is dropped, place in an upright position for 30 minutes before use to allow bubbles that may have formed to dissipate.</w:t>
      </w:r>
    </w:p>
    <w:p w14:paraId="052E6199" w14:textId="55CEE639" w:rsidR="00964732" w:rsidRDefault="00964732" w:rsidP="00C00A2E">
      <w:pPr>
        <w:pStyle w:val="ListParagraph"/>
        <w:numPr>
          <w:ilvl w:val="0"/>
          <w:numId w:val="1"/>
        </w:numPr>
        <w:spacing w:after="0"/>
      </w:pPr>
      <w:r>
        <w:t>Reagents are susceptible to the formation of foam and bubbles. Bubbles may interfere with the detection of the reagent level in the cartridge and cause insufficient reagent aspiration that may adversely affect results.</w:t>
      </w:r>
    </w:p>
    <w:p w14:paraId="7D62FDEF" w14:textId="07505A6C" w:rsidR="00964732" w:rsidRDefault="00964732" w:rsidP="00964732">
      <w:pPr>
        <w:spacing w:after="0"/>
      </w:pPr>
    </w:p>
    <w:p w14:paraId="30A99443" w14:textId="64E2AC96" w:rsidR="00964732" w:rsidRDefault="00964732" w:rsidP="00964732">
      <w:pPr>
        <w:spacing w:after="0"/>
      </w:pPr>
      <w:r>
        <w:t>STORAGE INSTRUCTIONS</w:t>
      </w:r>
    </w:p>
    <w:p w14:paraId="6703EEFA" w14:textId="1CF3C9A9" w:rsidR="00964732" w:rsidRDefault="00964732" w:rsidP="00964732">
      <w:pPr>
        <w:spacing w:after="0"/>
      </w:pPr>
    </w:p>
    <w:tbl>
      <w:tblPr>
        <w:tblStyle w:val="TableGrid"/>
        <w:tblW w:w="0" w:type="auto"/>
        <w:tblLook w:val="04A0" w:firstRow="1" w:lastRow="0" w:firstColumn="1" w:lastColumn="0" w:noHBand="0" w:noVBand="1"/>
      </w:tblPr>
      <w:tblGrid>
        <w:gridCol w:w="2337"/>
        <w:gridCol w:w="2337"/>
        <w:gridCol w:w="2338"/>
        <w:gridCol w:w="2338"/>
      </w:tblGrid>
      <w:tr w:rsidR="00964732" w14:paraId="18EF5545" w14:textId="77777777" w:rsidTr="0089434D">
        <w:tc>
          <w:tcPr>
            <w:tcW w:w="2337" w:type="dxa"/>
            <w:vAlign w:val="center"/>
          </w:tcPr>
          <w:p w14:paraId="01B39407" w14:textId="77777777" w:rsidR="00964732" w:rsidRDefault="00964732" w:rsidP="0089434D">
            <w:pPr>
              <w:jc w:val="center"/>
            </w:pPr>
          </w:p>
        </w:tc>
        <w:tc>
          <w:tcPr>
            <w:tcW w:w="2337" w:type="dxa"/>
            <w:vAlign w:val="center"/>
          </w:tcPr>
          <w:p w14:paraId="614285F7" w14:textId="657DE937" w:rsidR="00964732" w:rsidRDefault="00964732" w:rsidP="0089434D">
            <w:pPr>
              <w:jc w:val="center"/>
            </w:pPr>
            <w:r>
              <w:t>Storage Temperature</w:t>
            </w:r>
          </w:p>
        </w:tc>
        <w:tc>
          <w:tcPr>
            <w:tcW w:w="2338" w:type="dxa"/>
            <w:vAlign w:val="center"/>
          </w:tcPr>
          <w:p w14:paraId="501A4221" w14:textId="4A4E2AE4" w:rsidR="00964732" w:rsidRDefault="00964732" w:rsidP="0089434D">
            <w:pPr>
              <w:jc w:val="center"/>
            </w:pPr>
            <w:r>
              <w:t>Max Storage Time</w:t>
            </w:r>
          </w:p>
        </w:tc>
        <w:tc>
          <w:tcPr>
            <w:tcW w:w="2338" w:type="dxa"/>
            <w:vAlign w:val="center"/>
          </w:tcPr>
          <w:p w14:paraId="1A67BDF6" w14:textId="4B2B59BD" w:rsidR="00964732" w:rsidRDefault="00964732" w:rsidP="0089434D">
            <w:pPr>
              <w:jc w:val="center"/>
            </w:pPr>
            <w:r>
              <w:t>Additional Instructions</w:t>
            </w:r>
          </w:p>
        </w:tc>
      </w:tr>
      <w:tr w:rsidR="00964732" w14:paraId="4C52C9BB" w14:textId="77777777" w:rsidTr="0089434D">
        <w:tc>
          <w:tcPr>
            <w:tcW w:w="2337" w:type="dxa"/>
            <w:vAlign w:val="center"/>
          </w:tcPr>
          <w:p w14:paraId="30A6F5CF" w14:textId="737D802A" w:rsidR="00964732" w:rsidRDefault="00964732" w:rsidP="0089434D">
            <w:pPr>
              <w:jc w:val="center"/>
            </w:pPr>
            <w:r>
              <w:t>Unopened</w:t>
            </w:r>
          </w:p>
        </w:tc>
        <w:tc>
          <w:tcPr>
            <w:tcW w:w="2337" w:type="dxa"/>
            <w:vAlign w:val="center"/>
          </w:tcPr>
          <w:p w14:paraId="1030D374" w14:textId="65178F91" w:rsidR="00964732" w:rsidRDefault="00964732" w:rsidP="0089434D">
            <w:pPr>
              <w:jc w:val="center"/>
            </w:pPr>
            <w:r>
              <w:t>2-8C</w:t>
            </w:r>
          </w:p>
        </w:tc>
        <w:tc>
          <w:tcPr>
            <w:tcW w:w="2338" w:type="dxa"/>
            <w:vAlign w:val="center"/>
          </w:tcPr>
          <w:p w14:paraId="3C2CC708" w14:textId="79111720" w:rsidR="00964732" w:rsidRDefault="00964732" w:rsidP="0089434D">
            <w:pPr>
              <w:jc w:val="center"/>
            </w:pPr>
            <w:r>
              <w:t>Until expiration date</w:t>
            </w:r>
          </w:p>
        </w:tc>
        <w:tc>
          <w:tcPr>
            <w:tcW w:w="2338" w:type="dxa"/>
            <w:vAlign w:val="center"/>
          </w:tcPr>
          <w:p w14:paraId="52BE3AE2" w14:textId="57650DB6" w:rsidR="00964732" w:rsidRDefault="00964732" w:rsidP="0089434D">
            <w:pPr>
              <w:pStyle w:val="ListParagraph"/>
              <w:numPr>
                <w:ilvl w:val="0"/>
                <w:numId w:val="2"/>
              </w:numPr>
              <w:ind w:left="345" w:hanging="180"/>
            </w:pPr>
            <w:r>
              <w:t>Store in upright position.</w:t>
            </w:r>
          </w:p>
          <w:p w14:paraId="1CDC5919" w14:textId="10270A08" w:rsidR="00964732" w:rsidRDefault="00964732" w:rsidP="0089434D">
            <w:pPr>
              <w:pStyle w:val="ListParagraph"/>
              <w:numPr>
                <w:ilvl w:val="0"/>
                <w:numId w:val="2"/>
              </w:numPr>
              <w:ind w:left="345" w:hanging="180"/>
            </w:pPr>
            <w:r>
              <w:t>If cartridge does not remain upright, gently invert the cartridge 10 times and place in an upright position for at least 1 hour prior to use.</w:t>
            </w:r>
          </w:p>
        </w:tc>
      </w:tr>
      <w:tr w:rsidR="00964732" w14:paraId="76534CAD" w14:textId="77777777" w:rsidTr="0089434D">
        <w:tc>
          <w:tcPr>
            <w:tcW w:w="2337" w:type="dxa"/>
            <w:vAlign w:val="center"/>
          </w:tcPr>
          <w:p w14:paraId="1F11E6DF" w14:textId="3E6D7E89" w:rsidR="00964732" w:rsidRDefault="00964732" w:rsidP="0089434D">
            <w:pPr>
              <w:jc w:val="center"/>
            </w:pPr>
            <w:r>
              <w:t>Onboard</w:t>
            </w:r>
          </w:p>
        </w:tc>
        <w:tc>
          <w:tcPr>
            <w:tcW w:w="2337" w:type="dxa"/>
            <w:vAlign w:val="center"/>
          </w:tcPr>
          <w:p w14:paraId="0CD2CDFC" w14:textId="49F50E63" w:rsidR="00964732" w:rsidRDefault="00964732" w:rsidP="0089434D">
            <w:pPr>
              <w:jc w:val="center"/>
            </w:pPr>
            <w:r>
              <w:t>System Temperature</w:t>
            </w:r>
          </w:p>
        </w:tc>
        <w:tc>
          <w:tcPr>
            <w:tcW w:w="2338" w:type="dxa"/>
            <w:vAlign w:val="center"/>
          </w:tcPr>
          <w:p w14:paraId="0E34EF47" w14:textId="2BB6B751" w:rsidR="00964732" w:rsidRDefault="00964732" w:rsidP="0089434D">
            <w:pPr>
              <w:jc w:val="center"/>
            </w:pPr>
            <w:r>
              <w:t>30 days</w:t>
            </w:r>
          </w:p>
        </w:tc>
        <w:tc>
          <w:tcPr>
            <w:tcW w:w="2338" w:type="dxa"/>
            <w:vAlign w:val="center"/>
          </w:tcPr>
          <w:p w14:paraId="1FCC2926" w14:textId="77777777" w:rsidR="00964732" w:rsidRDefault="00964732" w:rsidP="0089434D"/>
        </w:tc>
      </w:tr>
      <w:tr w:rsidR="00964732" w14:paraId="599C00F6" w14:textId="77777777" w:rsidTr="0089434D">
        <w:tc>
          <w:tcPr>
            <w:tcW w:w="2337" w:type="dxa"/>
            <w:vAlign w:val="center"/>
          </w:tcPr>
          <w:p w14:paraId="74B179B0" w14:textId="032A3C3A" w:rsidR="00964732" w:rsidRDefault="00964732" w:rsidP="0089434D">
            <w:pPr>
              <w:jc w:val="center"/>
            </w:pPr>
            <w:r>
              <w:t>Opened</w:t>
            </w:r>
          </w:p>
        </w:tc>
        <w:tc>
          <w:tcPr>
            <w:tcW w:w="2337" w:type="dxa"/>
            <w:vAlign w:val="center"/>
          </w:tcPr>
          <w:p w14:paraId="5796440E" w14:textId="1682E9E3" w:rsidR="00964732" w:rsidRDefault="00964732" w:rsidP="0089434D">
            <w:pPr>
              <w:jc w:val="center"/>
            </w:pPr>
            <w:r>
              <w:t>2-8C</w:t>
            </w:r>
          </w:p>
        </w:tc>
        <w:tc>
          <w:tcPr>
            <w:tcW w:w="2338" w:type="dxa"/>
            <w:vAlign w:val="center"/>
          </w:tcPr>
          <w:p w14:paraId="3ABDB550" w14:textId="14DD8611" w:rsidR="00964732" w:rsidRDefault="00964732" w:rsidP="0089434D">
            <w:pPr>
              <w:jc w:val="center"/>
            </w:pPr>
            <w:r>
              <w:t>Until expiration date</w:t>
            </w:r>
          </w:p>
        </w:tc>
        <w:tc>
          <w:tcPr>
            <w:tcW w:w="2338" w:type="dxa"/>
            <w:vAlign w:val="center"/>
          </w:tcPr>
          <w:p w14:paraId="0E2C997A" w14:textId="77777777" w:rsidR="00964732" w:rsidRDefault="00964732" w:rsidP="0089434D">
            <w:pPr>
              <w:pStyle w:val="ListParagraph"/>
              <w:numPr>
                <w:ilvl w:val="0"/>
                <w:numId w:val="3"/>
              </w:numPr>
              <w:ind w:left="435"/>
            </w:pPr>
            <w:r>
              <w:t>Store in upright position.</w:t>
            </w:r>
          </w:p>
          <w:p w14:paraId="1AE18AF1" w14:textId="42FADEFF" w:rsidR="00964732" w:rsidRDefault="00964732" w:rsidP="0089434D">
            <w:pPr>
              <w:pStyle w:val="ListParagraph"/>
              <w:numPr>
                <w:ilvl w:val="0"/>
                <w:numId w:val="3"/>
              </w:numPr>
            </w:pPr>
            <w:r>
              <w:t>Do not reuse reagent caps due to the risk of contamination.</w:t>
            </w:r>
          </w:p>
        </w:tc>
      </w:tr>
    </w:tbl>
    <w:p w14:paraId="4F8C0DE5" w14:textId="77777777" w:rsidR="00964732" w:rsidRDefault="00964732" w:rsidP="00964732">
      <w:pPr>
        <w:spacing w:after="0"/>
      </w:pPr>
    </w:p>
    <w:p w14:paraId="63F4F947" w14:textId="08C8E217" w:rsidR="008E75E8" w:rsidRDefault="0089434D" w:rsidP="002C2D40">
      <w:pPr>
        <w:spacing w:after="0"/>
      </w:pPr>
      <w:r>
        <w:t>INDICATIONS OF REAGENT DETERIORATION</w:t>
      </w:r>
    </w:p>
    <w:p w14:paraId="1D963844" w14:textId="26F94D1D" w:rsidR="0089434D" w:rsidRDefault="0089434D" w:rsidP="002C2D40">
      <w:pPr>
        <w:spacing w:after="0"/>
      </w:pPr>
    </w:p>
    <w:p w14:paraId="45102528" w14:textId="5B22E988" w:rsidR="0089434D" w:rsidRDefault="0089434D" w:rsidP="002C2D40">
      <w:pPr>
        <w:spacing w:after="0"/>
      </w:pPr>
      <w:r>
        <w:t>Deterioration of the reagents may be indicated when a calibration error occurs, or a control value is out of the specified range. Associated test results are invalid, and samples must be retested. Assay recalibration may be necessary.</w:t>
      </w:r>
    </w:p>
    <w:p w14:paraId="05C4FDC8" w14:textId="71489222" w:rsidR="0089434D" w:rsidRDefault="0089434D" w:rsidP="002C2D40">
      <w:pPr>
        <w:spacing w:after="0"/>
      </w:pPr>
    </w:p>
    <w:p w14:paraId="081B1033" w14:textId="22D29A4E" w:rsidR="0089434D" w:rsidRDefault="0089434D" w:rsidP="002C2D40">
      <w:pPr>
        <w:spacing w:after="0"/>
      </w:pPr>
      <w:r>
        <w:t>For troubleshooting information, refer to the Alinity ci-series Operations Manual, Section 10.</w:t>
      </w:r>
    </w:p>
    <w:p w14:paraId="047664BA" w14:textId="4D02E47F" w:rsidR="0089434D" w:rsidRDefault="0089434D" w:rsidP="002C2D40">
      <w:pPr>
        <w:spacing w:after="0"/>
      </w:pPr>
    </w:p>
    <w:p w14:paraId="0304CD6F" w14:textId="66DC0E6E" w:rsidR="0089434D" w:rsidRDefault="0089434D" w:rsidP="002C2D40">
      <w:pPr>
        <w:spacing w:after="0"/>
      </w:pPr>
      <w:r>
        <w:t>MAINTENANCE</w:t>
      </w:r>
    </w:p>
    <w:p w14:paraId="23228D12" w14:textId="7F8AAFB8" w:rsidR="0089434D" w:rsidRDefault="0089434D" w:rsidP="002C2D40">
      <w:pPr>
        <w:spacing w:after="0"/>
      </w:pPr>
    </w:p>
    <w:p w14:paraId="0684314A" w14:textId="1ABA2546" w:rsidR="0089434D" w:rsidRDefault="0089434D" w:rsidP="002C2D40">
      <w:pPr>
        <w:spacing w:after="0"/>
      </w:pPr>
      <w:r>
        <w:t xml:space="preserve">Perform daily or as needed maintenance. Refer to ALINITY System Operations Manual. Daily, weekly, </w:t>
      </w:r>
      <w:proofErr w:type="gramStart"/>
      <w:r>
        <w:t>monthly</w:t>
      </w:r>
      <w:proofErr w:type="gramEnd"/>
      <w:r>
        <w:t xml:space="preserve"> and quarterly maintenance operations and instructions are described in the online manual.</w:t>
      </w:r>
    </w:p>
    <w:p w14:paraId="72349EAE" w14:textId="67B87883" w:rsidR="0089434D" w:rsidRDefault="0089434D" w:rsidP="002C2D40">
      <w:pPr>
        <w:spacing w:after="0"/>
      </w:pPr>
    </w:p>
    <w:p w14:paraId="2AF42ACF" w14:textId="464D31B9" w:rsidR="0089434D" w:rsidRDefault="0089434D" w:rsidP="002C2D40">
      <w:pPr>
        <w:spacing w:after="0"/>
      </w:pPr>
      <w:r>
        <w:t>CALIBRATION</w:t>
      </w:r>
    </w:p>
    <w:p w14:paraId="1A796B96" w14:textId="3F212A1E" w:rsidR="0089434D" w:rsidRDefault="0089434D" w:rsidP="002C2D40">
      <w:pPr>
        <w:spacing w:after="0"/>
      </w:pPr>
    </w:p>
    <w:p w14:paraId="76598574" w14:textId="2DEE9681" w:rsidR="0089434D" w:rsidRDefault="0089434D" w:rsidP="002C2D40">
      <w:pPr>
        <w:spacing w:after="0"/>
      </w:pPr>
      <w:r>
        <w:t>Calibration is required with each lot number change</w:t>
      </w:r>
      <w:r w:rsidR="00086B15">
        <w:t>. Verify calibration with at least two levels of controls. If control results are unacceptable</w:t>
      </w:r>
      <w:r w:rsidR="002A6EE4">
        <w:t>, recalibration may be necessary.</w:t>
      </w:r>
    </w:p>
    <w:p w14:paraId="1EA690C6" w14:textId="77777777" w:rsidR="00303CC5" w:rsidRDefault="00303CC5" w:rsidP="002C2D40">
      <w:pPr>
        <w:spacing w:after="0"/>
      </w:pPr>
    </w:p>
    <w:p w14:paraId="415AE4C8" w14:textId="404A7995" w:rsidR="00303CC5" w:rsidRDefault="00303CC5" w:rsidP="002C2D40">
      <w:pPr>
        <w:spacing w:after="0"/>
      </w:pPr>
      <w:r>
        <w:lastRenderedPageBreak/>
        <w:t>To order a calibration, select CREATE ORDER from the home screen</w:t>
      </w:r>
      <w:r w:rsidR="00D57CE5">
        <w:t>, the choose the CALIBRATION tab. Scan or enter the rack number in the rack field. Enter the starting position number of the first calibrator in the position field and select the ADD ORDER tab.</w:t>
      </w:r>
    </w:p>
    <w:p w14:paraId="32044C96" w14:textId="77777777" w:rsidR="002A2157" w:rsidRDefault="002A2157" w:rsidP="002C2D40">
      <w:pPr>
        <w:spacing w:after="0"/>
      </w:pPr>
    </w:p>
    <w:p w14:paraId="57FA400C" w14:textId="6D18E1E8" w:rsidR="002A2157" w:rsidRDefault="002A2157" w:rsidP="002C2D40">
      <w:pPr>
        <w:spacing w:after="0"/>
      </w:pPr>
      <w:r w:rsidRPr="00E74088">
        <w:rPr>
          <w:highlight w:val="yellow"/>
        </w:rPr>
        <w:t xml:space="preserve">Ensure that the appropriate calibrator lot number has already been added to the instrument. If </w:t>
      </w:r>
      <w:r w:rsidR="00E74088" w:rsidRPr="00E74088">
        <w:rPr>
          <w:highlight w:val="yellow"/>
        </w:rPr>
        <w:t>it has not…</w:t>
      </w:r>
    </w:p>
    <w:p w14:paraId="784B62F6" w14:textId="77777777" w:rsidR="00E74088" w:rsidRDefault="00E74088" w:rsidP="002C2D40">
      <w:pPr>
        <w:spacing w:after="0"/>
      </w:pPr>
    </w:p>
    <w:p w14:paraId="194D882C" w14:textId="27DAE8C6" w:rsidR="00E74088" w:rsidRDefault="009815E5" w:rsidP="002C2D40">
      <w:pPr>
        <w:spacing w:after="0"/>
      </w:pPr>
      <w:r>
        <w:t>For a detailed description of how to calibrate an assay, refer to Section 6 of the instrument operation manual.</w:t>
      </w:r>
    </w:p>
    <w:p w14:paraId="462FF685" w14:textId="77777777" w:rsidR="009815E5" w:rsidRDefault="009815E5" w:rsidP="002C2D40">
      <w:pPr>
        <w:spacing w:after="0"/>
      </w:pPr>
    </w:p>
    <w:p w14:paraId="60B56C6D" w14:textId="61AC0038" w:rsidR="009815E5" w:rsidRDefault="009815E5" w:rsidP="002C2D40">
      <w:pPr>
        <w:spacing w:after="0"/>
      </w:pPr>
      <w:r>
        <w:t>For information on calibrator values</w:t>
      </w:r>
      <w:r w:rsidR="00FA225D">
        <w:t xml:space="preserve">, refer to the Alinity </w:t>
      </w:r>
      <w:proofErr w:type="spellStart"/>
      <w:r w:rsidR="00FA225D">
        <w:t>iPTH</w:t>
      </w:r>
      <w:proofErr w:type="spellEnd"/>
      <w:r w:rsidR="00FA225D">
        <w:t xml:space="preserve"> calibrator package insert. (Calibration values are programmed in the instrument assay parameters in the configuration.)</w:t>
      </w:r>
    </w:p>
    <w:p w14:paraId="3592157A" w14:textId="77777777" w:rsidR="004C656D" w:rsidRDefault="004C656D" w:rsidP="002C2D40">
      <w:pPr>
        <w:spacing w:after="0"/>
      </w:pPr>
    </w:p>
    <w:p w14:paraId="26D02285" w14:textId="6E4C2975" w:rsidR="004C656D" w:rsidRDefault="004C656D" w:rsidP="002C2D40">
      <w:pPr>
        <w:spacing w:after="0"/>
      </w:pPr>
      <w:r>
        <w:t>Calibration may be necessary in the following circumstances:</w:t>
      </w:r>
    </w:p>
    <w:p w14:paraId="68EAE5A3" w14:textId="18325348" w:rsidR="004C656D" w:rsidRDefault="004C656D" w:rsidP="004C656D">
      <w:pPr>
        <w:pStyle w:val="ListParagraph"/>
        <w:numPr>
          <w:ilvl w:val="0"/>
          <w:numId w:val="4"/>
        </w:numPr>
        <w:spacing w:after="0"/>
      </w:pPr>
      <w:r>
        <w:t>Out of range control values</w:t>
      </w:r>
    </w:p>
    <w:p w14:paraId="06DFA02B" w14:textId="513D8A83" w:rsidR="004C656D" w:rsidRDefault="004C656D" w:rsidP="004C656D">
      <w:pPr>
        <w:pStyle w:val="ListParagraph"/>
        <w:numPr>
          <w:ilvl w:val="0"/>
          <w:numId w:val="4"/>
        </w:numPr>
        <w:spacing w:after="0"/>
      </w:pPr>
      <w:r>
        <w:t>Significant shift or trend in quality control values</w:t>
      </w:r>
    </w:p>
    <w:p w14:paraId="763158B3" w14:textId="63A7A3B4" w:rsidR="004C656D" w:rsidRDefault="00E039ED" w:rsidP="004C656D">
      <w:pPr>
        <w:pStyle w:val="ListParagraph"/>
        <w:numPr>
          <w:ilvl w:val="0"/>
          <w:numId w:val="4"/>
        </w:numPr>
        <w:spacing w:after="0"/>
      </w:pPr>
      <w:r>
        <w:t>A bulk solution is placed into service</w:t>
      </w:r>
    </w:p>
    <w:p w14:paraId="031CD0DB" w14:textId="4D34D282" w:rsidR="00E039ED" w:rsidRDefault="00E039ED" w:rsidP="004C656D">
      <w:pPr>
        <w:pStyle w:val="ListParagraph"/>
        <w:numPr>
          <w:ilvl w:val="0"/>
          <w:numId w:val="4"/>
        </w:numPr>
        <w:spacing w:after="0"/>
      </w:pPr>
      <w:r>
        <w:t xml:space="preserve">Any </w:t>
      </w:r>
      <w:r w:rsidR="00822D7E">
        <w:t xml:space="preserve">Alinity </w:t>
      </w:r>
      <w:proofErr w:type="spellStart"/>
      <w:r w:rsidR="00822D7E">
        <w:t>i</w:t>
      </w:r>
      <w:proofErr w:type="spellEnd"/>
      <w:r w:rsidR="00822D7E">
        <w:t xml:space="preserve"> </w:t>
      </w:r>
      <w:r>
        <w:t>dispense system component is replaced</w:t>
      </w:r>
      <w:r w:rsidR="00F3053E">
        <w:t>.</w:t>
      </w:r>
    </w:p>
    <w:p w14:paraId="0C3194E6" w14:textId="72174158" w:rsidR="00F3053E" w:rsidRDefault="00F3053E" w:rsidP="004C656D">
      <w:pPr>
        <w:pStyle w:val="ListParagraph"/>
        <w:numPr>
          <w:ilvl w:val="0"/>
          <w:numId w:val="4"/>
        </w:numPr>
        <w:spacing w:after="0"/>
      </w:pPr>
      <w:r>
        <w:t xml:space="preserve">Any Alinity </w:t>
      </w:r>
      <w:proofErr w:type="spellStart"/>
      <w:r>
        <w:t>i</w:t>
      </w:r>
      <w:proofErr w:type="spellEnd"/>
      <w:r>
        <w:t xml:space="preserve"> </w:t>
      </w:r>
      <w:r w:rsidR="0025510C">
        <w:t xml:space="preserve">system maintenance is performed </w:t>
      </w:r>
      <w:r w:rsidR="000B55E6">
        <w:t xml:space="preserve">to correct </w:t>
      </w:r>
      <w:proofErr w:type="spellStart"/>
      <w:r w:rsidR="000B55E6">
        <w:t>i</w:t>
      </w:r>
      <w:proofErr w:type="spellEnd"/>
      <w:r w:rsidR="000B55E6">
        <w:t>-side malfunctions.</w:t>
      </w:r>
    </w:p>
    <w:p w14:paraId="12EABA46" w14:textId="77777777" w:rsidR="000B55E6" w:rsidRDefault="000B55E6" w:rsidP="000B55E6">
      <w:pPr>
        <w:spacing w:after="0"/>
      </w:pPr>
    </w:p>
    <w:p w14:paraId="1A0CC4B7" w14:textId="46155D71" w:rsidR="000B55E6" w:rsidRDefault="000B55E6" w:rsidP="000B55E6">
      <w:pPr>
        <w:spacing w:after="0"/>
      </w:pPr>
      <w:r>
        <w:t>CALIB</w:t>
      </w:r>
      <w:r w:rsidR="00381F08">
        <w:t>RATION VERIFICATION</w:t>
      </w:r>
    </w:p>
    <w:p w14:paraId="11DA5596" w14:textId="77777777" w:rsidR="00381F08" w:rsidRDefault="00381F08" w:rsidP="000B55E6">
      <w:pPr>
        <w:spacing w:after="0"/>
      </w:pPr>
    </w:p>
    <w:p w14:paraId="52647447" w14:textId="520C4ADE" w:rsidR="00381F08" w:rsidRDefault="00381F08" w:rsidP="000B55E6">
      <w:pPr>
        <w:spacing w:after="0"/>
      </w:pPr>
      <w:r>
        <w:t xml:space="preserve">Calibration is validated by running 3 levels of control after each calibration. If </w:t>
      </w:r>
      <w:r w:rsidR="00BD0E4C">
        <w:t>QC values are acceptable according to establish</w:t>
      </w:r>
      <w:r w:rsidR="003A2AF3">
        <w:t xml:space="preserve">ed ranges, the calibration is </w:t>
      </w:r>
      <w:proofErr w:type="gramStart"/>
      <w:r w:rsidR="003A2AF3">
        <w:t>valid</w:t>
      </w:r>
      <w:proofErr w:type="gramEnd"/>
      <w:r w:rsidR="003A2AF3">
        <w:t xml:space="preserve"> and patients can be run.</w:t>
      </w:r>
    </w:p>
    <w:p w14:paraId="07A263D5" w14:textId="77777777" w:rsidR="003A2AF3" w:rsidRDefault="003A2AF3" w:rsidP="000B55E6">
      <w:pPr>
        <w:spacing w:after="0"/>
      </w:pPr>
    </w:p>
    <w:p w14:paraId="55C482E1" w14:textId="0399DBE3" w:rsidR="003A2AF3" w:rsidRDefault="003A2AF3" w:rsidP="000B55E6">
      <w:pPr>
        <w:spacing w:after="0"/>
      </w:pPr>
      <w:r>
        <w:t>QUALITY CONTROL (QC)</w:t>
      </w:r>
    </w:p>
    <w:p w14:paraId="38B889C5" w14:textId="77777777" w:rsidR="003A2AF3" w:rsidRDefault="003A2AF3" w:rsidP="000B55E6">
      <w:pPr>
        <w:spacing w:after="0"/>
      </w:pPr>
    </w:p>
    <w:p w14:paraId="3D3C82A4" w14:textId="6D8940C4" w:rsidR="003A2AF3" w:rsidRDefault="006257A2" w:rsidP="000B55E6">
      <w:pPr>
        <w:spacing w:after="0"/>
      </w:pPr>
      <w:r>
        <w:t xml:space="preserve">Material: Alinity </w:t>
      </w:r>
      <w:proofErr w:type="spellStart"/>
      <w:r>
        <w:t>iPTH</w:t>
      </w:r>
      <w:proofErr w:type="spellEnd"/>
      <w:r>
        <w:t xml:space="preserve"> controls – 3 bottles, 8mL each. 2SD ranges have been established</w:t>
      </w:r>
      <w:r w:rsidR="00C42D67">
        <w:t xml:space="preserve"> </w:t>
      </w:r>
      <w:r w:rsidR="00D63C05">
        <w:t>and are followed.</w:t>
      </w:r>
    </w:p>
    <w:p w14:paraId="562E66AA" w14:textId="77777777" w:rsidR="00D63C05" w:rsidRDefault="00D63C05" w:rsidP="000B55E6">
      <w:pPr>
        <w:spacing w:after="0"/>
      </w:pPr>
    </w:p>
    <w:p w14:paraId="31EC706A" w14:textId="6576947B" w:rsidR="00D63C05" w:rsidRDefault="00D63C05" w:rsidP="000B55E6">
      <w:pPr>
        <w:spacing w:after="0"/>
      </w:pPr>
      <w:r>
        <w:t>If QC results do not meet the acceptance criteria</w:t>
      </w:r>
      <w:r w:rsidR="00340A06">
        <w:t>, sample results may be suspect</w:t>
      </w:r>
      <w:proofErr w:type="gramStart"/>
      <w:r w:rsidR="00340A06">
        <w:t xml:space="preserve">.  </w:t>
      </w:r>
      <w:proofErr w:type="gramEnd"/>
      <w:r w:rsidR="00340A06">
        <w:t>Recalibration may be required. For troubleshooting information refer to Alinity ci-series Operations Manual, section 10.</w:t>
      </w:r>
    </w:p>
    <w:p w14:paraId="2A29ACC1" w14:textId="77777777" w:rsidR="00F95EC0" w:rsidRDefault="00F95EC0" w:rsidP="000B55E6">
      <w:pPr>
        <w:spacing w:after="0"/>
      </w:pPr>
    </w:p>
    <w:p w14:paraId="5A427982" w14:textId="239C5CF9" w:rsidR="00F95EC0" w:rsidRDefault="00F95EC0" w:rsidP="000B55E6">
      <w:pPr>
        <w:spacing w:after="0"/>
      </w:pPr>
      <w:r>
        <w:t>Storage and Stability: Stabile until expiration date printed on the bottle with stored at 2-8C.</w:t>
      </w:r>
    </w:p>
    <w:p w14:paraId="764F4986" w14:textId="77777777" w:rsidR="00F95EC0" w:rsidRDefault="00F95EC0" w:rsidP="000B55E6">
      <w:pPr>
        <w:spacing w:after="0"/>
      </w:pPr>
    </w:p>
    <w:p w14:paraId="403CA849" w14:textId="2FC73353" w:rsidR="00F95EC0" w:rsidRDefault="00F95EC0" w:rsidP="000B55E6">
      <w:pPr>
        <w:spacing w:after="0"/>
      </w:pPr>
      <w:r>
        <w:t xml:space="preserve">Frequency: </w:t>
      </w:r>
      <w:r w:rsidR="00662E79">
        <w:t>A minimum of 3 levels of controls ae run each day of patient testing prior to resulting any patient results.</w:t>
      </w:r>
    </w:p>
    <w:p w14:paraId="50896885" w14:textId="77777777" w:rsidR="00662E79" w:rsidRDefault="00662E79" w:rsidP="000B55E6">
      <w:pPr>
        <w:spacing w:after="0"/>
      </w:pPr>
    </w:p>
    <w:p w14:paraId="1B2D8AFF" w14:textId="7E199ECE" w:rsidR="00662E79" w:rsidRDefault="00662E79" w:rsidP="000B55E6">
      <w:pPr>
        <w:spacing w:after="0"/>
      </w:pPr>
      <w:r>
        <w:t xml:space="preserve">Interpretation and Troubleshooting: If QC results do not meet the acceptance criteria, patient values </w:t>
      </w:r>
      <w:r w:rsidR="00B91D6C">
        <w:t>may be suspect. Review QC results and acceptance criteria following a change of reagent or calibrator lot.</w:t>
      </w:r>
    </w:p>
    <w:p w14:paraId="4C2E931E" w14:textId="77777777" w:rsidR="00B91D6C" w:rsidRDefault="00B91D6C" w:rsidP="000B55E6">
      <w:pPr>
        <w:spacing w:after="0"/>
      </w:pPr>
    </w:p>
    <w:p w14:paraId="6675C69C" w14:textId="3B674CE9" w:rsidR="00B91D6C" w:rsidRDefault="00B91D6C" w:rsidP="000B55E6">
      <w:pPr>
        <w:spacing w:after="0"/>
      </w:pPr>
      <w:r>
        <w:t>PROCEDURE</w:t>
      </w:r>
    </w:p>
    <w:p w14:paraId="2D668B1E" w14:textId="77777777" w:rsidR="00B91D6C" w:rsidRDefault="00B91D6C" w:rsidP="000B55E6">
      <w:pPr>
        <w:spacing w:after="0"/>
      </w:pPr>
    </w:p>
    <w:p w14:paraId="10975722" w14:textId="6803D1DB" w:rsidR="00B91D6C" w:rsidRDefault="00B91D6C" w:rsidP="000B55E6">
      <w:pPr>
        <w:spacing w:after="0"/>
      </w:pPr>
      <w:r>
        <w:lastRenderedPageBreak/>
        <w:t>For a detailed description of how to run an assay, refer to the Alinity ci-series Operations Manual, Section 5.</w:t>
      </w:r>
    </w:p>
    <w:p w14:paraId="2F301DE8" w14:textId="77777777" w:rsidR="00B91D6C" w:rsidRDefault="00B91D6C" w:rsidP="000B55E6">
      <w:pPr>
        <w:spacing w:after="0"/>
      </w:pPr>
    </w:p>
    <w:p w14:paraId="4041361C" w14:textId="2DC356A2" w:rsidR="00B91D6C" w:rsidRDefault="00B91D6C" w:rsidP="000B55E6">
      <w:pPr>
        <w:spacing w:after="0"/>
      </w:pPr>
      <w:r>
        <w:t>ASSAY PROCEDURE</w:t>
      </w:r>
    </w:p>
    <w:p w14:paraId="4518EDD3" w14:textId="77777777" w:rsidR="00B91D6C" w:rsidRDefault="00B91D6C" w:rsidP="000B55E6">
      <w:pPr>
        <w:spacing w:after="0"/>
      </w:pPr>
    </w:p>
    <w:p w14:paraId="28923D4C" w14:textId="6D524458" w:rsidR="001171C3" w:rsidRDefault="00B91D6C" w:rsidP="00C92C84">
      <w:pPr>
        <w:pStyle w:val="ListParagraph"/>
        <w:numPr>
          <w:ilvl w:val="0"/>
          <w:numId w:val="5"/>
        </w:numPr>
        <w:spacing w:after="0"/>
      </w:pPr>
      <w:r>
        <w:t>Verify sample integrity, sufficient volume, and approved sample type</w:t>
      </w:r>
      <w:r w:rsidR="001171C3">
        <w:t>.</w:t>
      </w:r>
    </w:p>
    <w:p w14:paraId="232C2D0C" w14:textId="7FB67FCB" w:rsidR="00C92C84" w:rsidRDefault="00456F94" w:rsidP="00C92C84">
      <w:pPr>
        <w:pStyle w:val="ListParagraph"/>
        <w:numPr>
          <w:ilvl w:val="0"/>
          <w:numId w:val="5"/>
        </w:numPr>
        <w:spacing w:after="0"/>
      </w:pPr>
      <w:r>
        <w:t>Load sample into an appropriate rack and slot in the Alinity</w:t>
      </w:r>
    </w:p>
    <w:p w14:paraId="709FA5DE" w14:textId="77777777" w:rsidR="002C527D" w:rsidRDefault="002C527D" w:rsidP="006A05BD">
      <w:pPr>
        <w:spacing w:after="0"/>
      </w:pPr>
    </w:p>
    <w:p w14:paraId="6C3C31A8" w14:textId="4C60EAE9" w:rsidR="006A05BD" w:rsidRDefault="006A05BD" w:rsidP="006A05BD">
      <w:pPr>
        <w:spacing w:after="0"/>
      </w:pPr>
      <w:r w:rsidRPr="006A05BD">
        <w:rPr>
          <w:highlight w:val="yellow"/>
        </w:rPr>
        <w:t>MANUAL DILUTION</w:t>
      </w:r>
      <w:r w:rsidR="00F55C3B">
        <w:t xml:space="preserve"> – do we dilute?</w:t>
      </w:r>
    </w:p>
    <w:p w14:paraId="1E8D8E15" w14:textId="77777777" w:rsidR="006A05BD" w:rsidRDefault="006A05BD" w:rsidP="006A05BD">
      <w:pPr>
        <w:spacing w:after="0"/>
      </w:pPr>
    </w:p>
    <w:p w14:paraId="3D78B429" w14:textId="576DADB0" w:rsidR="006A05BD" w:rsidRPr="00F55C3B" w:rsidRDefault="006A2E7F" w:rsidP="006A05BD">
      <w:pPr>
        <w:spacing w:after="0"/>
        <w:rPr>
          <w:highlight w:val="yellow"/>
        </w:rPr>
      </w:pPr>
      <w:r w:rsidRPr="00F55C3B">
        <w:rPr>
          <w:highlight w:val="yellow"/>
        </w:rPr>
        <w:t>RESULTS REPORTING</w:t>
      </w:r>
    </w:p>
    <w:p w14:paraId="7CC741AD" w14:textId="77777777" w:rsidR="006A2E7F" w:rsidRPr="00F55C3B" w:rsidRDefault="006A2E7F" w:rsidP="006A05BD">
      <w:pPr>
        <w:spacing w:after="0"/>
        <w:rPr>
          <w:highlight w:val="yellow"/>
        </w:rPr>
      </w:pPr>
    </w:p>
    <w:p w14:paraId="5090D4C0" w14:textId="1754DA73" w:rsidR="006A2E7F" w:rsidRPr="00F55C3B" w:rsidRDefault="006A2E7F" w:rsidP="006A05BD">
      <w:pPr>
        <w:spacing w:after="0"/>
        <w:rPr>
          <w:highlight w:val="yellow"/>
        </w:rPr>
      </w:pPr>
      <w:r w:rsidRPr="00F55C3B">
        <w:rPr>
          <w:highlight w:val="yellow"/>
        </w:rPr>
        <w:t>Texas Health Allen established ranges:</w:t>
      </w:r>
    </w:p>
    <w:p w14:paraId="01D9799C" w14:textId="77777777" w:rsidR="006A2E7F" w:rsidRPr="00F55C3B" w:rsidRDefault="006A2E7F" w:rsidP="006A05BD">
      <w:pPr>
        <w:spacing w:after="0"/>
        <w:rPr>
          <w:highlight w:val="yellow"/>
        </w:rPr>
      </w:pPr>
    </w:p>
    <w:p w14:paraId="1B8864FD" w14:textId="1BD28553" w:rsidR="006A2E7F" w:rsidRPr="00F55C3B" w:rsidRDefault="003C293C" w:rsidP="003C293C">
      <w:pPr>
        <w:spacing w:after="0"/>
        <w:rPr>
          <w:highlight w:val="yellow"/>
        </w:rPr>
      </w:pPr>
      <w:r w:rsidRPr="00F55C3B">
        <w:rPr>
          <w:highlight w:val="yellow"/>
        </w:rPr>
        <w:tab/>
        <w:t>Reference Interval:</w:t>
      </w:r>
    </w:p>
    <w:p w14:paraId="31FC07BC" w14:textId="567E2FEA" w:rsidR="003C293C" w:rsidRPr="00F55C3B" w:rsidRDefault="003C293C" w:rsidP="003C293C">
      <w:pPr>
        <w:spacing w:after="0"/>
        <w:rPr>
          <w:highlight w:val="yellow"/>
        </w:rPr>
      </w:pPr>
      <w:r w:rsidRPr="00F55C3B">
        <w:rPr>
          <w:highlight w:val="yellow"/>
        </w:rPr>
        <w:tab/>
        <w:t xml:space="preserve">AMR: </w:t>
      </w:r>
    </w:p>
    <w:p w14:paraId="3A1A4AE3" w14:textId="6E5E63A2" w:rsidR="003C293C" w:rsidRPr="00F55C3B" w:rsidRDefault="003C293C" w:rsidP="003C293C">
      <w:pPr>
        <w:spacing w:after="0"/>
        <w:rPr>
          <w:highlight w:val="yellow"/>
        </w:rPr>
      </w:pPr>
      <w:r w:rsidRPr="00F55C3B">
        <w:rPr>
          <w:highlight w:val="yellow"/>
        </w:rPr>
        <w:tab/>
        <w:t>CRR:</w:t>
      </w:r>
    </w:p>
    <w:p w14:paraId="2FC76557" w14:textId="5F301699" w:rsidR="003C293C" w:rsidRPr="00F55C3B" w:rsidRDefault="003C293C" w:rsidP="003C293C">
      <w:pPr>
        <w:spacing w:after="0"/>
        <w:rPr>
          <w:highlight w:val="yellow"/>
        </w:rPr>
      </w:pPr>
      <w:r w:rsidRPr="00F55C3B">
        <w:rPr>
          <w:highlight w:val="yellow"/>
        </w:rPr>
        <w:tab/>
        <w:t>Critical</w:t>
      </w:r>
    </w:p>
    <w:p w14:paraId="72C1770F" w14:textId="34AA0B80" w:rsidR="003C293C" w:rsidRPr="00F55C3B" w:rsidRDefault="003C293C" w:rsidP="003C293C">
      <w:pPr>
        <w:spacing w:after="0"/>
        <w:rPr>
          <w:highlight w:val="yellow"/>
        </w:rPr>
      </w:pPr>
    </w:p>
    <w:p w14:paraId="4BCB719A" w14:textId="139BE7F5" w:rsidR="003C293C" w:rsidRPr="00F55C3B" w:rsidRDefault="003C293C" w:rsidP="003C293C">
      <w:pPr>
        <w:spacing w:after="0"/>
        <w:rPr>
          <w:highlight w:val="yellow"/>
        </w:rPr>
      </w:pPr>
      <w:r w:rsidRPr="00F55C3B">
        <w:rPr>
          <w:highlight w:val="yellow"/>
        </w:rPr>
        <w:t>If a result exceeds the lower limit of the CRR, report as &lt;</w:t>
      </w:r>
    </w:p>
    <w:p w14:paraId="2B742DD4" w14:textId="69739677" w:rsidR="003C293C" w:rsidRDefault="003C293C" w:rsidP="003C293C">
      <w:pPr>
        <w:spacing w:after="0"/>
      </w:pPr>
      <w:r w:rsidRPr="00F55C3B">
        <w:rPr>
          <w:highlight w:val="yellow"/>
        </w:rPr>
        <w:t>If a result exceeds the upper limit of the AMR, dilute…</w:t>
      </w:r>
    </w:p>
    <w:p w14:paraId="0D1D2E7E" w14:textId="77777777" w:rsidR="00CB770A" w:rsidRDefault="00CB770A" w:rsidP="003C293C">
      <w:pPr>
        <w:spacing w:after="0"/>
      </w:pPr>
    </w:p>
    <w:p w14:paraId="4EB7DCFA" w14:textId="4EE55A37" w:rsidR="00CB770A" w:rsidRDefault="0043293F" w:rsidP="003C293C">
      <w:pPr>
        <w:spacing w:after="0"/>
      </w:pPr>
      <w:r>
        <w:t>LIMITATIONS OF THE PROCEDURE</w:t>
      </w:r>
    </w:p>
    <w:p w14:paraId="7DCE1A14" w14:textId="77777777" w:rsidR="0043293F" w:rsidRDefault="0043293F" w:rsidP="003C293C">
      <w:pPr>
        <w:spacing w:after="0"/>
      </w:pPr>
    </w:p>
    <w:p w14:paraId="271A4B57" w14:textId="77787B95" w:rsidR="0043293F" w:rsidRDefault="0043293F" w:rsidP="0043293F">
      <w:pPr>
        <w:pStyle w:val="ListParagraph"/>
        <w:numPr>
          <w:ilvl w:val="0"/>
          <w:numId w:val="6"/>
        </w:numPr>
        <w:spacing w:after="0"/>
      </w:pPr>
      <w:r>
        <w:t>Results should be used in conjunction with other data</w:t>
      </w:r>
      <w:r w:rsidR="00202417">
        <w:t xml:space="preserve"> e.g., symptoms, results of other tests, clinical impressions…</w:t>
      </w:r>
    </w:p>
    <w:p w14:paraId="3A0B2E6C" w14:textId="3A8CB8EE" w:rsidR="00202417" w:rsidRDefault="00202417" w:rsidP="0043293F">
      <w:pPr>
        <w:pStyle w:val="ListParagraph"/>
        <w:numPr>
          <w:ilvl w:val="0"/>
          <w:numId w:val="6"/>
        </w:numPr>
        <w:spacing w:after="0"/>
      </w:pPr>
      <w:r>
        <w:t xml:space="preserve">If the </w:t>
      </w:r>
      <w:proofErr w:type="spellStart"/>
      <w:r>
        <w:t>iPTH</w:t>
      </w:r>
      <w:proofErr w:type="spellEnd"/>
      <w:r>
        <w:t xml:space="preserve"> results are inconsistent with clinical evidence, additional testing is suggested to confirm the result</w:t>
      </w:r>
      <w:r w:rsidR="00E90897">
        <w:t>.</w:t>
      </w:r>
    </w:p>
    <w:p w14:paraId="5417C278" w14:textId="2B8C301A" w:rsidR="00E90897" w:rsidRDefault="00C94365" w:rsidP="0043293F">
      <w:pPr>
        <w:pStyle w:val="ListParagraph"/>
        <w:numPr>
          <w:ilvl w:val="0"/>
          <w:numId w:val="6"/>
        </w:numPr>
        <w:spacing w:after="0"/>
      </w:pPr>
      <w:r>
        <w:t>For a complete listing of interferences, refer to the manufacturer’s package insert. If interferences are present in the s</w:t>
      </w:r>
      <w:r w:rsidR="00861DAA">
        <w:t xml:space="preserve">ample and could affect results, it may be necessary to reject the specimen. If necessary, consult with the lab lead, </w:t>
      </w:r>
      <w:r w:rsidR="006F6407">
        <w:t xml:space="preserve">lab director or medical director for further </w:t>
      </w:r>
      <w:r w:rsidR="004638AB">
        <w:t>assistance.</w:t>
      </w:r>
    </w:p>
    <w:p w14:paraId="6D50B1F5" w14:textId="77777777" w:rsidR="004638AB" w:rsidRDefault="004638AB" w:rsidP="004638AB">
      <w:pPr>
        <w:spacing w:after="0"/>
      </w:pPr>
    </w:p>
    <w:p w14:paraId="6E2C1017" w14:textId="5CDA30B1" w:rsidR="004638AB" w:rsidRDefault="004638AB" w:rsidP="004638AB">
      <w:pPr>
        <w:spacing w:after="0"/>
      </w:pPr>
      <w:r>
        <w:t>REFERENCES</w:t>
      </w:r>
    </w:p>
    <w:p w14:paraId="1E583D99" w14:textId="77777777" w:rsidR="004638AB" w:rsidRDefault="004638AB" w:rsidP="004638AB">
      <w:pPr>
        <w:spacing w:after="0"/>
      </w:pPr>
    </w:p>
    <w:p w14:paraId="2E335258" w14:textId="0905935C" w:rsidR="00EC4F0F" w:rsidRDefault="004638AB" w:rsidP="004638AB">
      <w:pPr>
        <w:spacing w:after="0"/>
      </w:pPr>
      <w:r>
        <w:t>ABBOTT Alinity IPTH package insert</w:t>
      </w:r>
    </w:p>
    <w:p w14:paraId="0C17EC12" w14:textId="77777777" w:rsidR="00EC4F0F" w:rsidRDefault="00EC4F0F" w:rsidP="004638AB">
      <w:pPr>
        <w:spacing w:after="0"/>
      </w:pPr>
    </w:p>
    <w:p w14:paraId="5BFF82F0" w14:textId="58D24088" w:rsidR="00EC4F0F" w:rsidRDefault="00EC4F0F" w:rsidP="004638AB">
      <w:pPr>
        <w:spacing w:after="0"/>
      </w:pPr>
      <w:r>
        <w:t xml:space="preserve">ABBOTT Alinity IPTH calibrator package </w:t>
      </w:r>
      <w:proofErr w:type="gramStart"/>
      <w:r>
        <w:t>insert</w:t>
      </w:r>
      <w:proofErr w:type="gramEnd"/>
    </w:p>
    <w:p w14:paraId="793E4B96" w14:textId="77777777" w:rsidR="00CB2D53" w:rsidRDefault="00CB2D53" w:rsidP="004638AB">
      <w:pPr>
        <w:spacing w:after="0"/>
      </w:pPr>
    </w:p>
    <w:p w14:paraId="5D2464B8" w14:textId="6F0EF7D8" w:rsidR="00CB2D53" w:rsidRDefault="00CB2D53" w:rsidP="004638AB">
      <w:pPr>
        <w:spacing w:after="0"/>
      </w:pPr>
      <w:r>
        <w:t xml:space="preserve">ABBOTT Alinity IPTH control package </w:t>
      </w:r>
      <w:proofErr w:type="gramStart"/>
      <w:r>
        <w:t>insert</w:t>
      </w:r>
      <w:proofErr w:type="gramEnd"/>
    </w:p>
    <w:p w14:paraId="3DF5D5B6" w14:textId="77777777" w:rsidR="00CB2D53" w:rsidRDefault="00CB2D53" w:rsidP="004638AB">
      <w:pPr>
        <w:spacing w:after="0"/>
      </w:pPr>
    </w:p>
    <w:p w14:paraId="7D141227" w14:textId="06094BAC" w:rsidR="0089434D" w:rsidRDefault="0089434D" w:rsidP="002C2D40">
      <w:pPr>
        <w:spacing w:after="0"/>
      </w:pPr>
    </w:p>
    <w:p w14:paraId="2DA8AF5F" w14:textId="77777777" w:rsidR="0089434D" w:rsidRDefault="0089434D" w:rsidP="002C2D40">
      <w:pPr>
        <w:spacing w:after="0"/>
      </w:pPr>
    </w:p>
    <w:p w14:paraId="18CAEF51" w14:textId="77777777" w:rsidR="008E75E8" w:rsidRDefault="008E75E8" w:rsidP="002C2D40">
      <w:pPr>
        <w:spacing w:after="0"/>
      </w:pPr>
    </w:p>
    <w:p w14:paraId="1E7254CF" w14:textId="77777777" w:rsidR="002C2D40" w:rsidRDefault="002C2D40" w:rsidP="008F7252"/>
    <w:sectPr w:rsidR="002C2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66E"/>
    <w:multiLevelType w:val="hybridMultilevel"/>
    <w:tmpl w:val="1E585E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30702D3"/>
    <w:multiLevelType w:val="hybridMultilevel"/>
    <w:tmpl w:val="62526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05A48"/>
    <w:multiLevelType w:val="hybridMultilevel"/>
    <w:tmpl w:val="4154A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C02A9"/>
    <w:multiLevelType w:val="hybridMultilevel"/>
    <w:tmpl w:val="6002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B5DBD"/>
    <w:multiLevelType w:val="hybridMultilevel"/>
    <w:tmpl w:val="8408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AE3C15"/>
    <w:multiLevelType w:val="hybridMultilevel"/>
    <w:tmpl w:val="2654B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52"/>
    <w:rsid w:val="00086B15"/>
    <w:rsid w:val="000B55E6"/>
    <w:rsid w:val="001171C3"/>
    <w:rsid w:val="001473B4"/>
    <w:rsid w:val="0019013E"/>
    <w:rsid w:val="00202417"/>
    <w:rsid w:val="002374B5"/>
    <w:rsid w:val="0025510C"/>
    <w:rsid w:val="002A2157"/>
    <w:rsid w:val="002A6EE4"/>
    <w:rsid w:val="002C2D40"/>
    <w:rsid w:val="002C527D"/>
    <w:rsid w:val="00303CC5"/>
    <w:rsid w:val="00340A06"/>
    <w:rsid w:val="00381F08"/>
    <w:rsid w:val="003A2AF3"/>
    <w:rsid w:val="003C293C"/>
    <w:rsid w:val="0043293F"/>
    <w:rsid w:val="00456F94"/>
    <w:rsid w:val="004638AB"/>
    <w:rsid w:val="004A014B"/>
    <w:rsid w:val="004C656D"/>
    <w:rsid w:val="00542E8C"/>
    <w:rsid w:val="006257A2"/>
    <w:rsid w:val="00662E79"/>
    <w:rsid w:val="006A05BD"/>
    <w:rsid w:val="006A2E7F"/>
    <w:rsid w:val="006F6407"/>
    <w:rsid w:val="007E6DB1"/>
    <w:rsid w:val="00822D7E"/>
    <w:rsid w:val="00861DAA"/>
    <w:rsid w:val="0089434D"/>
    <w:rsid w:val="008E75E8"/>
    <w:rsid w:val="008F7252"/>
    <w:rsid w:val="00964732"/>
    <w:rsid w:val="009815E5"/>
    <w:rsid w:val="00AB77F1"/>
    <w:rsid w:val="00AD5DAF"/>
    <w:rsid w:val="00B91D6C"/>
    <w:rsid w:val="00BD0E4C"/>
    <w:rsid w:val="00C00A2E"/>
    <w:rsid w:val="00C42D67"/>
    <w:rsid w:val="00C92C84"/>
    <w:rsid w:val="00C94365"/>
    <w:rsid w:val="00CB2D53"/>
    <w:rsid w:val="00CB770A"/>
    <w:rsid w:val="00D57CE5"/>
    <w:rsid w:val="00D63C05"/>
    <w:rsid w:val="00E039ED"/>
    <w:rsid w:val="00E74088"/>
    <w:rsid w:val="00E90897"/>
    <w:rsid w:val="00EC4F0F"/>
    <w:rsid w:val="00F3053E"/>
    <w:rsid w:val="00F55C3B"/>
    <w:rsid w:val="00F95EC0"/>
    <w:rsid w:val="00FA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9F1F"/>
  <w15:chartTrackingRefBased/>
  <w15:docId w15:val="{31F0191B-702A-4A7D-9C3E-92589B4B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A2E"/>
    <w:pPr>
      <w:ind w:left="720"/>
      <w:contextualSpacing/>
    </w:pPr>
  </w:style>
  <w:style w:type="table" w:styleId="TableGrid">
    <w:name w:val="Table Grid"/>
    <w:basedOn w:val="TableNormal"/>
    <w:uiPriority w:val="39"/>
    <w:rsid w:val="0096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cp:revision>
  <dcterms:created xsi:type="dcterms:W3CDTF">2021-11-29T23:11:00Z</dcterms:created>
  <dcterms:modified xsi:type="dcterms:W3CDTF">2021-11-29T23:11:00Z</dcterms:modified>
</cp:coreProperties>
</file>